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5D6364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415925</wp:posOffset>
                      </wp:positionV>
                      <wp:extent cx="6209665" cy="342265"/>
                      <wp:effectExtent l="2540" t="0" r="0" b="444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CC315D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ANGLE GRINDER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3.95pt;margin-top:32.7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KZ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yAYlW8kdUjSFdJ&#10;UBboE0YeLBqpvmM0wPjIsP62o4ph1L4XIP8kJMTOG7chs7l9Xercsjm3UFECVIYNRtNyZaYZtesV&#10;3zYQaXpwQt7Ak6m5U/NTVoeHBiPCkTqMMzuDzvfO62noLn8BAAD//wMAUEsDBBQABgAIAAAAIQBd&#10;r3bU3QAAAAkBAAAPAAAAZHJzL2Rvd25yZXYueG1sTI9BT8JAEIXvJv6HzZh4g10IBVu7JUTjVSMg&#10;CbelO7SN3dmmu9D67x1Pcpy8L2++l69H14or9qHxpGE2VSCQSm8bqjTsd2+TJxAhGrKm9YQafjDA&#10;uri/y01m/UCfeN3GSnAJhcxoqGPsMilDWaMzYeo7JM7Ovncm8tlX0vZm4HLXyrlSS+lMQ/yhNh2+&#10;1Fh+by9Ow9f7+XhYqI/q1SXd4EclyaVS68eHcfMMIuIY/2H402d1KNjp5C9kg2g1TFYpkxqWSQKC&#10;83SleNuJwVm6AFnk8nZB8QsAAP//AwBQSwECLQAUAAYACAAAACEAtoM4kv4AAADhAQAAEwAAAAAA&#10;AAAAAAAAAAAAAAAAW0NvbnRlbnRfVHlwZXNdLnhtbFBLAQItABQABgAIAAAAIQA4/SH/1gAAAJQB&#10;AAALAAAAAAAAAAAAAAAAAC8BAABfcmVscy8ucmVsc1BLAQItABQABgAIAAAAIQCdnHKZtgIAALwF&#10;AAAOAAAAAAAAAAAAAAAAAC4CAABkcnMvZTJvRG9jLnhtbFBLAQItABQABgAIAAAAIQBdr3bU3QAA&#10;AAkBAAAPAAAAAAAAAAAAAAAAABAFAABkcnMvZG93bnJldi54bWxQSwUGAAAAAAQABADzAAAAGgYA&#10;AAAA&#10;" filled="f" stroked="f">
                      <v:textbox>
                        <w:txbxContent>
                          <w:p w:rsidR="00131D9D" w:rsidRPr="00E4302E" w:rsidRDefault="00CC315D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ANGLE GRINDER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E81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4515028</wp:posOffset>
                      </wp:positionH>
                      <wp:positionV relativeFrom="paragraph">
                        <wp:posOffset>163373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086F" id="Text Box 104" o:spid="_x0000_s1027" type="#_x0000_t202" style="position:absolute;left:0;text-align:left;margin-left:355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Dt3tY33wAAAAoBAAAPAAAAZHJzL2Rvd25yZXYueG1sTI/LTsMwEEX3SPyDNUjsqJ1A+ghx&#10;qgrEFtTykNi58TSJGo+j2G3C3zOs6HJmju6cW6wn14kzDqH1pCGZKRBIlbct1Ro+3l/uliBCNGRN&#10;5wk1/GCAdXl9VZjc+pG2eN7FWnAIhdxoaGLscylD1aAzYeZ7JL4d/OBM5HGopR3MyOGuk6lSc+lM&#10;S/yhMT0+NVgddyen4fP18P31oN7qZ5f1o5+UJLeSWt/eTJtHEBGn+A/Dnz6rQ8lOe38iG0SnYZEk&#10;3CVqSLMFCAaWyYoXeybT+wxkWcjLCuUvAAAA//8DAFBLAQItABQABgAIAAAAIQC2gziS/gAAAOEB&#10;AAATAAAAAAAAAAAAAAAAAAAAAABbQ29udGVudF9UeXBlc10ueG1sUEsBAi0AFAAGAAgAAAAhADj9&#10;If/WAAAAlAEAAAsAAAAAAAAAAAAAAAAALwEAAF9yZWxzLy5yZWxzUEsBAi0AFAAGAAgAAAAhANWY&#10;nci8AgAAwgUAAA4AAAAAAAAAAAAAAAAALgIAAGRycy9lMm9Eb2MueG1sUEsBAi0AFAAGAAgAAAAh&#10;AO3e1jffAAAACgEAAA8AAAAAAAAAAAAAAAAAFgUAAGRycy9kb3ducmV2LnhtbFBLBQYAAAAABAAE&#10;APMAAAAiBgAAAAA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14656F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2.4pt;margin-top:7pt;width:31.2pt;height:31.2pt;z-index:251649024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89" DrawAspect="Content" ObjectID="_1596527406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E4302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28251</wp:posOffset>
                  </wp:positionH>
                  <wp:positionV relativeFrom="page">
                    <wp:posOffset>26934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6C79F8">
            <w:pPr>
              <w:snapToGrid w:val="0"/>
              <w:spacing w:before="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FF3924">
              <w:rPr>
                <w:rFonts w:ascii="Arial" w:hAnsi="Arial" w:cs="Arial"/>
                <w:sz w:val="28"/>
                <w:szCs w:val="28"/>
              </w:rPr>
              <w:t>footwear with substantial uppers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6C79F8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25441</wp:posOffset>
                  </wp:positionH>
                  <wp:positionV relativeFrom="margin">
                    <wp:posOffset>34505</wp:posOffset>
                  </wp:positionV>
                  <wp:extent cx="396000" cy="410026"/>
                  <wp:effectExtent l="0" t="0" r="4445" b="9525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41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Pr="00E4302E" w:rsidRDefault="006C79F8" w:rsidP="006C79F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Are you wearing a mask when excessive airborne dust is created? </w:t>
            </w:r>
            <w:r w:rsidR="005D636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79F8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572A48" w:rsidRDefault="006C79F8" w:rsidP="003B0E6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0</wp:posOffset>
                  </wp:positionV>
                  <wp:extent cx="396000" cy="396000"/>
                  <wp:effectExtent l="0" t="0" r="4445" b="4445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F8" w:rsidRDefault="006C79F8" w:rsidP="0014656F">
            <w:pPr>
              <w:snapToGrid w:val="0"/>
              <w:spacing w:after="1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Are you wearing appropriate hearing protection?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B26B40" w:rsidRDefault="006C79F8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79F8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572A48" w:rsidRDefault="006C79F8" w:rsidP="003B0E6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25879</wp:posOffset>
                  </wp:positionH>
                  <wp:positionV relativeFrom="margin">
                    <wp:posOffset>0</wp:posOffset>
                  </wp:positionV>
                  <wp:extent cx="396000" cy="396000"/>
                  <wp:effectExtent l="0" t="0" r="4445" b="4445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F8" w:rsidRDefault="006C79F8" w:rsidP="0014656F">
            <w:pPr>
              <w:snapToGrid w:val="0"/>
              <w:spacing w:after="1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Are you wearing protective</w:t>
            </w:r>
            <w:r w:rsidR="00DC1742">
              <w:rPr>
                <w:rFonts w:ascii="Arial" w:hAnsi="Arial" w:cs="Arial"/>
                <w:bCs/>
                <w:sz w:val="28"/>
                <w:szCs w:val="28"/>
              </w:rPr>
              <w:t xml:space="preserve"> clothing, overalls, leather gloves, </w:t>
            </w:r>
            <w:proofErr w:type="spellStart"/>
            <w:r w:rsidR="00DC1742">
              <w:rPr>
                <w:rFonts w:ascii="Arial" w:hAnsi="Arial" w:cs="Arial"/>
                <w:bCs/>
                <w:sz w:val="28"/>
                <w:szCs w:val="28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B26B40" w:rsidRDefault="006C79F8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79F8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572A48" w:rsidRDefault="006C79F8" w:rsidP="003B0E6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25879</wp:posOffset>
                  </wp:positionH>
                  <wp:positionV relativeFrom="margin">
                    <wp:posOffset>8626</wp:posOffset>
                  </wp:positionV>
                  <wp:extent cx="396000" cy="396000"/>
                  <wp:effectExtent l="0" t="0" r="4445" b="444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F8" w:rsidRDefault="006C79F8" w:rsidP="006C79F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Is your hair contained or restrained, and have you removed exposed rings or jewellery?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B26B40" w:rsidRDefault="006C79F8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3B0E6C" w:rsidRPr="00E4302E" w:rsidRDefault="003B0E6C" w:rsidP="00E4302E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on section on the reverse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3B0E6C" w:rsidRPr="002637C7" w:rsidRDefault="003B0E6C" w:rsidP="003B0E6C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507940" w:rsidRDefault="003B0E6C" w:rsidP="002011E8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B4051" w:rsidTr="00FF3924">
        <w:trPr>
          <w:trHeight w:hRule="exact" w:val="61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Pr="00620A34" w:rsidRDefault="008B4051" w:rsidP="00FD5B9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your work area </w:t>
            </w:r>
            <w:r w:rsidR="00FF3924">
              <w:rPr>
                <w:rFonts w:ascii="Arial" w:hAnsi="Arial" w:cs="Arial"/>
                <w:sz w:val="26"/>
              </w:rPr>
              <w:t>suitable and safe</w:t>
            </w:r>
            <w:r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D5B92">
        <w:trPr>
          <w:trHeight w:hRule="exact" w:val="57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DC1742" w:rsidP="00DC174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>Are</w:t>
            </w:r>
            <w:r w:rsidR="006C79F8">
              <w:rPr>
                <w:rFonts w:ascii="Arial" w:hAnsi="Arial" w:cs="Arial"/>
                <w:sz w:val="26"/>
                <w:szCs w:val="20"/>
              </w:rPr>
              <w:t xml:space="preserve"> the </w:t>
            </w:r>
            <w:r>
              <w:rPr>
                <w:rFonts w:ascii="Arial" w:hAnsi="Arial" w:cs="Arial"/>
                <w:sz w:val="26"/>
                <w:szCs w:val="20"/>
              </w:rPr>
              <w:t xml:space="preserve">discs, guards and handle secure?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F3924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DC1742" w:rsidP="0014656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2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Does the safety guard cover half the disc?</w:t>
            </w:r>
            <w:r w:rsidR="006C79F8">
              <w:rPr>
                <w:rFonts w:ascii="Arial" w:hAnsi="Arial" w:cs="Arial"/>
                <w:sz w:val="26"/>
              </w:rPr>
              <w:t xml:space="preserve"> </w:t>
            </w:r>
            <w:r w:rsidR="00FD5B92">
              <w:rPr>
                <w:rFonts w:ascii="Arial" w:hAnsi="Arial" w:cs="Arial"/>
                <w:sz w:val="26"/>
              </w:rPr>
              <w:t xml:space="preserve"> </w:t>
            </w:r>
            <w:r w:rsidR="00FF3924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5D6364">
        <w:trPr>
          <w:trHeight w:hRule="exact" w:val="84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DC1742" w:rsidP="00FF392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the power lead and plug free from damage? </w:t>
            </w:r>
            <w:r w:rsidR="006C79F8">
              <w:rPr>
                <w:rFonts w:ascii="Arial" w:hAnsi="Arial" w:cs="Arial"/>
                <w:sz w:val="26"/>
              </w:rPr>
              <w:t xml:space="preserve"> </w:t>
            </w:r>
            <w:r w:rsidR="005D6364">
              <w:rPr>
                <w:rFonts w:ascii="Arial" w:hAnsi="Arial" w:cs="Arial"/>
                <w:sz w:val="26"/>
              </w:rPr>
              <w:t xml:space="preserve"> </w:t>
            </w:r>
            <w:r w:rsidR="00FD5B92">
              <w:rPr>
                <w:rFonts w:ascii="Arial" w:hAnsi="Arial" w:cs="Arial"/>
                <w:sz w:val="26"/>
              </w:rPr>
              <w:t xml:space="preserve"> </w:t>
            </w:r>
            <w:r w:rsidR="00FF3924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FD35FC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6360747</wp:posOffset>
                </wp:positionH>
                <wp:positionV relativeFrom="paragraph">
                  <wp:posOffset>2488469</wp:posOffset>
                </wp:positionV>
                <wp:extent cx="571500" cy="7239108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391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FD35FC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Paste pages 1 and</w:t>
                            </w:r>
                            <w:r w:rsidR="00131D9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131D9D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 w:rsidR="00131D9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="00131D9D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 w:rsidR="00131D9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1D9D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 w:rsidR="00131D9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="00131D9D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="00131D9D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85pt;margin-top:195.95pt;width:45pt;height:57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IkmQIAADcFAAAOAAAAZHJzL2Uyb0RvYy54bWysVNuO2yAQfa/Uf0C8Z31ZZxNb66z20lSV&#10;thdpt32f2DhGxUCBxFlV/fcOkKRJ+1JV9QMGZjjMmTnD9c1uEGTLjOVK1jS7SClhslEtl+uafn5e&#10;TuaUWAeyBaEkq+kLs/Rm8frV9agrlqteiZYZgiDSVqOuae+crpLENj0bwF4ozSQaO2UGcLg066Q1&#10;MCL6IJI8Ta+SUZlWG9Uwa3H3IRrpIuB3HWvcx66zzBFRU4zNhdGEceXHZHEN1dqA7nmzDwP+IYoB&#10;uMRLj1AP4IBsDP8DauCNUVZ17qJRQ6K6jjcscEA2Wfobm6ceNAtcMDlWH9Nk/x9s82H7yRDeYu0u&#10;KZEwYI2e2c6RO7Uj5aXPz6hthW5PGh3dDvfRN3C1+lE1Xy2R6r4HuWa3xqixZ9BifJk/mZwcjTjW&#10;g6zG96rFe2DjVADadWbwycN0EETHOr0ca+NjaXBzOsumKVoaNM3yyzJL5+EKqA6ntbHuLVMD8ZOa&#10;Gqx9QIfto3U+GqgOLv4yqwRvl1yIsDDr1b0wZAuok2X44lmhe4i7QSuIYaNrwDvDENIjSeUx43Vx&#10;BxlgAN7muQRRfC+zvEjv8nKyvJrPJsWymE7KWTqfpFl5V16lRVk8LH/4CLKi6nnbMvnIJTsINCv+&#10;TgD7VonSChIlY03LaT4N5M6i39Pac039t8/vmdvAHfar4ENN50cnqHzV38gWaUPlgIs4T87DDynD&#10;HBz+IStBI14WUSBut9oFORYH6a1U+4KiMQprivXHtwYnDL7gn5IRO7em9tsGDKNEvJMovTIrCt/q&#10;YVFMZzkuzKlldWoB2fQKHwQEi9N7F5+HjTZ83eNdUexS3aJcOx6U5HUd40IufoHdGVjtXxLf/qfr&#10;4PXrvVv8BAAA//8DAFBLAwQUAAYACAAAACEA0TXWj+EAAAAOAQAADwAAAGRycy9kb3ducmV2Lnht&#10;bEyPwU7DMBBE70j8g7VIXFBrh6iFhDhVBUKqxIlA707sJhaxHdlOmvL1bE70tjM7mn1b7GbTk0n5&#10;oJ3lkKwZEGUbJ7VtOXx/va+egYQorBS9s4rDRQXYlbc3hcilO9tPNVWxJVhiQy44dDEOOaWh6ZQR&#10;Ye0GZXF3ct6IiNK3VHpxxnLT00fGttQIbfFCJwb12qnmpxoNh+1Bj/ogf48f04mll81D/bavPOf3&#10;d/P+BUhUc/wPw4KP6FAiU+1GKwPpUTOWPGGWQ5olGZAlwrLFqnHapOjRsqDXb5R/AAAA//8DAFBL&#10;AQItABQABgAIAAAAIQC2gziS/gAAAOEBAAATAAAAAAAAAAAAAAAAAAAAAABbQ29udGVudF9UeXBl&#10;c10ueG1sUEsBAi0AFAAGAAgAAAAhADj9If/WAAAAlAEAAAsAAAAAAAAAAAAAAAAALwEAAF9yZWxz&#10;Ly5yZWxzUEsBAi0AFAAGAAgAAAAhAAJkIiSZAgAANwUAAA4AAAAAAAAAAAAAAAAALgIAAGRycy9l&#10;Mm9Eb2MueG1sUEsBAi0AFAAGAAgAAAAhANE11o/hAAAADgEAAA8AAAAAAAAAAAAAAAAA8wQAAGRy&#10;cy9kb3ducmV2LnhtbFBLBQYAAAAABAAEAPMAAAABBgAAAAA=&#10;" stroked="f">
                <v:fill opacity="0"/>
                <v:textbox style="layout-flow:vertical-ideographic">
                  <w:txbxContent>
                    <w:p w:rsidR="00131D9D" w:rsidRPr="00AA048D" w:rsidRDefault="00FD35FC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Paste pages 1 and</w:t>
                      </w:r>
                      <w:r w:rsidR="00131D9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="00131D9D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 w:rsidR="00131D9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="00131D9D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 w:rsidR="00131D9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131D9D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 w:rsidR="00131D9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="00131D9D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="00131D9D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-55880</wp:posOffset>
                </wp:positionV>
                <wp:extent cx="571500" cy="2190750"/>
                <wp:effectExtent l="0" t="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876FE8" w:rsidRDefault="00CC315D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Angle Grinder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7pt;margin-top:-4.4pt;width:45pt;height:1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Pw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wB&#10;U4r0wNEDHz261iNaVKE+g3E1uN0bcPQj7INvzNWZO02/OKT0TUfUhl9Zq4eOEwbxZeFkcnJ0wnEB&#10;ZD280wzuIVuvI9DY2j4UD8qBAB14ejxyE2KhsFnOszIFCwVTnlXpvIzkJaQ+nDbW+Tdc9yhMGmyB&#10;+4hOdnfOh2hIfXAJlzktBVsJKePCbtY30qIdAZ2s4hcTeOYmVXBWOhybEKcdCBLuCLYQbuT9qcry&#10;Ir3Oq9nqfDGfFauinFXzdDFLs+q6Ok+LqrhdfQsBZkXdCca4uhOKHzSYFX/H8b4bJvVEFaKhwVWZ&#10;lxNFf0wyjd/vkuyFh5aUom/w4uhE6kDsa8UgbVJ7IuQ0T34OP1YZanD4x6pEGQTmJw34cT1Gxb06&#10;qGut2SPowmqgDSiG5wQmnHyGP0YDNGeD3dctsRwj+VaBuqqsKEI3x0VRznNY2FPL+tRCFO009DyA&#10;TdMbP70AW2PFpoO7Jj0rfQWKbEUUS5DuFNdex9CAMav9YxE6/HQdvX48acvvAAAA//8DAFBLAwQU&#10;AAYACAAAACEA7U/5U+EAAAALAQAADwAAAGRycy9kb3ducmV2LnhtbEyPwU7CQBCG7ya+w2ZMvBDY&#10;QhVK7ZQQogfTEAPqfemObWN3tukuUN/e7UmPM/Pln+/PNoNpxYV611hGmM8iEMSl1Q1XCB/vL9ME&#10;hPOKtWotE8IPOdjktzeZSrW98oEuR1+JEMIuVQi1910qpStrMsrNbEccbl+2N8qHsa+k7tU1hJtW&#10;LqJoKY1qOHyoVUe7msrv49kgTOLCbeerYfUZ73dvr8Xz5OALQry/G7ZPIDwN/g+GUT+oQx6cTvbM&#10;2okWYb1+fAgowjQJFUYgSsbNCSGOlwuQeSb/d8h/AQAA//8DAFBLAQItABQABgAIAAAAIQC2gziS&#10;/gAAAOEBAAATAAAAAAAAAAAAAAAAAAAAAABbQ29udGVudF9UeXBlc10ueG1sUEsBAi0AFAAGAAgA&#10;AAAhADj9If/WAAAAlAEAAAsAAAAAAAAAAAAAAAAALwEAAF9yZWxzLy5yZWxzUEsBAi0AFAAGAAgA&#10;AAAhABkQg/CHAgAAGgUAAA4AAAAAAAAAAAAAAAAALgIAAGRycy9lMm9Eb2MueG1sUEsBAi0AFAAG&#10;AAgAAAAhAO1P+VPhAAAACwEAAA8AAAAAAAAAAAAAAAAA4QQAAGRycy9kb3ducmV2LnhtbFBLBQYA&#10;AAAABAAEAPMAAADvBQAAAAA=&#10;" stroked="f">
                <v:textbox style="layout-flow:vertical-ideographic">
                  <w:txbxContent>
                    <w:p w:rsidR="00131D9D" w:rsidRPr="00876FE8" w:rsidRDefault="00CC315D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Angle Grinder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4F6B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409575</wp:posOffset>
                      </wp:positionV>
                      <wp:extent cx="6209665" cy="342265"/>
                      <wp:effectExtent l="0" t="0" r="635" b="317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CC315D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ANGLE GRINDER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1.35pt;margin-top:32.25pt;width:488.9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A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MCS2QEOvU/C778HTjGAAZ0dW93ey/KqRkKuGii27UUoODaMVJBjam/7Z&#10;1QlHW5DN8EFWEIjujHRAY606Wz2oBwJ0aNTjqTk2mRIO4yhI4niGUQm2SxJFsLYhaHq83Stt3jHZ&#10;IbvIsILmO3S6v9Nmcj262GBCFrxt4ZymrXh2AJjTCcSGq9Zms3D9/JEEyXqxXhCPRPHaI0GeezfF&#10;inhxEc5n+WW+WuXhTxs3JGnDq4oJG+aorZD8We8OKp9UcVKXli2vLJxNSavtZtUqtKeg7cJ9h4Kc&#10;ufnP03D1Ai4vKIURCW6jxCvixdwjBZl5yTxYeEGY3CZxQBKSF88p3XHB/p0SGjKczKLZJKbfcgvc&#10;95obTTtuYHq0vMvw4uREUyvBtahcaw3l7bQ+K4VN/6kU0O5jo51grUYntZpxM7rH4aRmxbyR1SMo&#10;WEkQGMgUJh8sGqm+YzTAFMmw/rajimHUvhfwCpKQEDt23IbM5hFs1Lllc26hogSoDBuMpuXKTKNq&#10;1yu+bSDS9O6EvIGXU3Mn6qesDu8NJoXjdphqdhSd753X0+xd/gIAAP//AwBQSwMEFAAGAAgAAAAh&#10;AEFJ51XdAAAACAEAAA8AAABkcnMvZG93bnJldi54bWxMj8FOwzAQRO9I/IO1SNyo3SpN0xCnqoq4&#10;gmgBiZsbb5OIeB3FbhP+nuVEj6t5mnlbbCbXiQsOofWkYT5TIJAqb1uqNbwfnh8yECEasqbzhBp+&#10;MMCmvL0pTG79SG942cdacAmF3GhoYuxzKUPVoDNh5nskzk5+cCbyOdTSDmbkctfJhVKpdKYlXmhM&#10;j7sGq+/92Wn4eDl9fSbqtX5yy370k5Lk1lLr+7tp+wgi4hT/YfjTZ3Uo2enoz2SD6DQsVgxqSJMl&#10;CI7XmUpBHJmbZwnIspDXD5S/AAAA//8DAFBLAQItABQABgAIAAAAIQC2gziS/gAAAOEBAAATAAAA&#10;AAAAAAAAAAAAAAAAAABbQ29udGVudF9UeXBlc10ueG1sUEsBAi0AFAAGAAgAAAAhADj9If/WAAAA&#10;lAEAAAsAAAAAAAAAAAAAAAAALwEAAF9yZWxzLy5yZWxzUEsBAi0AFAAGAAgAAAAhAKMhhAC4AgAA&#10;wwUAAA4AAAAAAAAAAAAAAAAALgIAAGRycy9lMm9Eb2MueG1sUEsBAi0AFAAGAAgAAAAhAEFJ51Xd&#10;AAAACAEAAA8AAAAAAAAAAAAAAAAAEgUAAGRycy9kb3ducmV2LnhtbFBLBQYAAAAABAAEAPMAAAAc&#10;BgAAAAA=&#10;" filled="f" stroked="f">
                      <v:textbox>
                        <w:txbxContent>
                          <w:p w:rsidR="00131D9D" w:rsidRPr="00E4302E" w:rsidRDefault="00CC315D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ANGLE GRINDER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14656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>D</w:t>
            </w:r>
            <w:r w:rsidR="0014656F">
              <w:rPr>
                <w:rFonts w:ascii="Arial" w:hAnsi="Arial" w:cs="Arial"/>
                <w:b/>
                <w:sz w:val="27"/>
                <w:szCs w:val="27"/>
              </w:rPr>
              <w:t>O NOT use faulty equipment – 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Do not plug in until all adjustments have been made</w:t>
            </w:r>
            <w:r w:rsidR="006C79F8">
              <w:rPr>
                <w:rFonts w:ascii="Arial" w:hAnsi="Arial"/>
                <w:sz w:val="26"/>
                <w:szCs w:val="20"/>
              </w:rPr>
              <w:t>.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Do not fit a grinding disc that has </w:t>
            </w:r>
            <w:bookmarkStart w:id="0" w:name="_GoBack"/>
            <w:bookmarkEnd w:id="0"/>
            <w:r>
              <w:rPr>
                <w:rFonts w:ascii="Arial" w:hAnsi="Arial"/>
                <w:sz w:val="26"/>
                <w:szCs w:val="20"/>
              </w:rPr>
              <w:t>been dropped, damaged or become wet at any stage.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Ensure your work piece is secured and supported.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Keep fingers, hands and power cord clear of the disc. 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Use the grinder only in a designated work area – preferably behind a portable screen.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Be aware of flying hot sparks. Hold the grinder so that any sparks fly away from you and anyone nearby, and away from all flammable materials. 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Allow the grinder to reach operating speed, then apply load gradually. Maintain a constant pace to avoid uneven surfaces.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Maintain complete control. Always operate with both hands. Keep a proper and steady footing at all times. 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Do not apply excessive force – this could cause the disc to shatter.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prolonged use and high pressures. This could overheat the motor. 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Violent kickback can occur, particularly when cutting. </w:t>
            </w:r>
          </w:p>
          <w:p w:rsidR="00DC1742" w:rsidRPr="00DC1742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Leather gloves must be worn when handling hot metal. </w:t>
            </w:r>
          </w:p>
          <w:p w:rsidR="006C79F8" w:rsidRDefault="00DC1742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Turn off after use. Do not place the grinder down until the disc has stopped rotating. </w:t>
            </w:r>
            <w:r w:rsidR="006C79F8">
              <w:rPr>
                <w:rFonts w:ascii="Arial" w:hAnsi="Arial"/>
                <w:sz w:val="26"/>
                <w:szCs w:val="20"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DC1742" w:rsidP="00EC4AD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Serious injuries can be caused by kickback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4656F">
        <w:trPr>
          <w:trHeight w:hRule="exact" w:val="361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14656F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F3924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5D6364" w:rsidRPr="00DC1742" w:rsidRDefault="00DC1742" w:rsidP="0014656F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Do not lift or carry the angle grinder by the power cord</w:t>
            </w:r>
            <w:r w:rsidR="005D6364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</w:p>
          <w:p w:rsidR="00DC1742" w:rsidRPr="00507940" w:rsidRDefault="00DC1742" w:rsidP="0014656F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work area in a safe, clean and tidy condition.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4656F">
        <w:trPr>
          <w:trHeight w:hRule="exact" w:val="36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14656F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DC1742">
        <w:trPr>
          <w:trHeight w:hRule="exact" w:val="720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31426" w:rsidRDefault="008B4051" w:rsidP="0014656F">
            <w:pPr>
              <w:snapToGrid w:val="0"/>
              <w:spacing w:before="60" w:after="6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5D6364">
              <w:rPr>
                <w:rFonts w:ascii="Arial" w:hAnsi="Arial" w:cs="Arial"/>
              </w:rPr>
              <w:t>Moving, rotating and sharp parts</w:t>
            </w:r>
            <w:r w:rsidR="00EC4AD3" w:rsidRPr="00131D9D">
              <w:rPr>
                <w:rFonts w:ascii="Arial" w:hAnsi="Arial" w:cs="Arial"/>
              </w:rPr>
              <w:t xml:space="preserve">           </w:t>
            </w:r>
            <w:r w:rsidR="00EC4AD3" w:rsidRPr="00131D9D">
              <w:rPr>
                <w:rFonts w:ascii="Arial" w:hAnsi="Arial" w:cs="Arial"/>
              </w:rPr>
              <w:sym w:font="Wingdings" w:char="F06E"/>
            </w:r>
            <w:r w:rsidR="00EC4AD3" w:rsidRPr="00131D9D">
              <w:rPr>
                <w:rFonts w:ascii="Arial" w:hAnsi="Arial" w:cs="Arial"/>
              </w:rPr>
              <w:t xml:space="preserve">  </w:t>
            </w:r>
            <w:r w:rsidR="00FF3924">
              <w:rPr>
                <w:rFonts w:ascii="Arial" w:hAnsi="Arial" w:cs="Arial"/>
              </w:rPr>
              <w:t xml:space="preserve">Electricity </w:t>
            </w:r>
            <w:r w:rsidR="00EC4AD3" w:rsidRPr="00131D9D">
              <w:rPr>
                <w:rFonts w:ascii="Arial" w:hAnsi="Arial" w:cs="Arial"/>
              </w:rPr>
              <w:t xml:space="preserve">    </w:t>
            </w:r>
            <w:r w:rsidRPr="00131D9D">
              <w:rPr>
                <w:rFonts w:ascii="Arial" w:hAnsi="Arial" w:cs="Arial"/>
              </w:rPr>
              <w:t xml:space="preserve"> </w:t>
            </w:r>
            <w:r w:rsidR="00831426">
              <w:rPr>
                <w:rFonts w:ascii="Arial" w:hAnsi="Arial" w:cs="Arial"/>
              </w:rPr>
              <w:t xml:space="preserve">    </w:t>
            </w:r>
            <w:r w:rsidR="00826118">
              <w:rPr>
                <w:rFonts w:ascii="Arial" w:hAnsi="Arial" w:cs="Arial"/>
              </w:rPr>
              <w:t xml:space="preserve">          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831426">
              <w:rPr>
                <w:rFonts w:ascii="Arial" w:hAnsi="Arial" w:cs="Arial"/>
              </w:rPr>
              <w:t>Eye injuries</w:t>
            </w:r>
          </w:p>
          <w:p w:rsidR="001710A4" w:rsidRPr="00EC4AD3" w:rsidRDefault="00EC4AD3" w:rsidP="0014656F">
            <w:pPr>
              <w:snapToGrid w:val="0"/>
              <w:spacing w:before="60" w:after="60"/>
              <w:ind w:left="57" w:right="-113"/>
              <w:rPr>
                <w:rFonts w:ascii="Arial" w:hAnsi="Arial" w:cs="Arial"/>
                <w:sz w:val="23"/>
                <w:szCs w:val="23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761819">
              <w:rPr>
                <w:rFonts w:ascii="Arial" w:hAnsi="Arial" w:cs="Arial"/>
              </w:rPr>
              <w:t>Hot sparks and burns</w:t>
            </w:r>
            <w:r w:rsidR="00826118" w:rsidRPr="00131D9D">
              <w:rPr>
                <w:rFonts w:ascii="Arial" w:hAnsi="Arial" w:cs="Arial"/>
              </w:rPr>
              <w:t xml:space="preserve">               </w:t>
            </w:r>
            <w:r w:rsidR="00826118">
              <w:rPr>
                <w:rFonts w:ascii="Arial" w:hAnsi="Arial" w:cs="Arial"/>
              </w:rPr>
              <w:t xml:space="preserve">           </w:t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826118" w:rsidRPr="00131D9D">
              <w:rPr>
                <w:rFonts w:ascii="Arial" w:hAnsi="Arial" w:cs="Arial"/>
              </w:rPr>
              <w:sym w:font="Wingdings" w:char="F06E"/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761819">
              <w:rPr>
                <w:rFonts w:ascii="Arial" w:hAnsi="Arial" w:cs="Arial"/>
              </w:rPr>
              <w:t>D</w:t>
            </w:r>
            <w:r w:rsidR="005D6364">
              <w:rPr>
                <w:rFonts w:ascii="Arial" w:hAnsi="Arial" w:cs="Arial"/>
              </w:rPr>
              <w:t>ust</w:t>
            </w:r>
            <w:r w:rsidR="00761819">
              <w:rPr>
                <w:rFonts w:ascii="Arial" w:hAnsi="Arial" w:cs="Arial"/>
              </w:rPr>
              <w:t xml:space="preserve"> and fumes</w:t>
            </w:r>
            <w:r w:rsidR="00006156">
              <w:rPr>
                <w:rFonts w:ascii="Arial" w:hAnsi="Arial" w:cs="Arial"/>
              </w:rPr>
              <w:t xml:space="preserve">              </w:t>
            </w:r>
            <w:r w:rsidR="00006156" w:rsidRPr="00131D9D">
              <w:rPr>
                <w:rFonts w:ascii="Arial" w:hAnsi="Arial" w:cs="Arial"/>
              </w:rPr>
              <w:sym w:font="Wingdings" w:char="F06E"/>
            </w:r>
            <w:r w:rsidR="00006156" w:rsidRPr="00131D9D">
              <w:rPr>
                <w:rFonts w:ascii="Arial" w:hAnsi="Arial" w:cs="Arial"/>
              </w:rPr>
              <w:t xml:space="preserve">  </w:t>
            </w:r>
            <w:r w:rsidR="00006156">
              <w:rPr>
                <w:rFonts w:ascii="Arial" w:hAnsi="Arial" w:cs="Arial"/>
              </w:rPr>
              <w:t>Noise</w:t>
            </w:r>
          </w:p>
        </w:tc>
      </w:tr>
    </w:tbl>
    <w:p w:rsidR="00775F4B" w:rsidRPr="004D128A" w:rsidRDefault="00DC1742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8980805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3.45pt;margin-top:707.1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OpR8HDgAAAADQEAAA8AAABkcnMvZG93bnJldi54&#10;bWxMj8FOwzAQRO9I/IO1SFwQtRPSqA1xqqoCcW7hws2Nt0lEbCex26R8PZsTve3OjGbf5pvJtOyC&#10;g2+clRAtBDC0pdONrSR8fb4/r4D5oKxWrbMo4YoeNsX9Xa4y7Ua7x8shVIxKrM+UhDqELuPclzUa&#10;5ReuQ0veyQ1GBVqHiutBjVRuWh4LkXKjGksXatXhrsby53A2Etz4djUOexE/ff+aj92235/iXsrH&#10;h2n7CizgFP7DMOMTOhTEdHRnqz1rJSTpmpKkJ1HyAmxOiKWg6ThrabQEXuT89oviDwAA//8DAFBL&#10;AQItABQABgAIAAAAIQC2gziS/gAAAOEBAAATAAAAAAAAAAAAAAAAAAAAAABbQ29udGVudF9UeXBl&#10;c10ueG1sUEsBAi0AFAAGAAgAAAAhADj9If/WAAAAlAEAAAsAAAAAAAAAAAAAAAAALwEAAF9yZWxz&#10;Ly5yZWxzUEsBAi0AFAAGAAgAAAAhADZUIywoAgAAWQQAAA4AAAAAAAAAAAAAAAAALgIAAGRycy9l&#10;Mm9Eb2MueG1sUEsBAi0AFAAGAAgAAAAhAOpR8HDgAAAADQEAAA8AAAAAAAAAAAAAAAAAggQAAGRy&#10;cy9kb3ducmV2LnhtbFBLBQYAAAAABAAEAPMAAACPBQAAAAA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6"/>
      <w:headerReference w:type="first" r:id="rId17"/>
      <w:footerReference w:type="first" r:id="rId18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FF392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F3924"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FF392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F3924"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D5B92"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FD5B92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D5B92"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FD5B92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Shg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jH&#10;SJEOKHrkg0crPaC8COXpjavA68GAnx9gH2iOqTpzr+knh5Ret0Tt+K21um85YRBeFk4mF0dHHBdA&#10;tv1bzeAesvc6Ag2N7ULtoBoI0IGmpzM1IRYKm3laZul0ihEFW5FnsyJyl5DqdNpY519z3aEwqbEF&#10;6iM6Odw7H6Ih1cklXOa0FGwjpIwLu9uupUUHAjLZxC8m8MxNquCsdDg2Io47ECTcEWwh3Ej71zLL&#10;i3SVl5PNbH49KTbFdFJep/NJmpWrcpYWZXG3+RYCzIqqFYxxdS8UP0kwK/6O4mMzjOKJIkR9jctp&#10;Ph0p+mOSafx+l2QnPHSkFF2N52cnUgViXykGaZPKEyHHefJz+LHKUIPTP1YlyiAwP2rAD9shCm52&#10;UtdWsyfQhdVAG5APrwlMWm2/YNRDZ9bYfd4TyzGSbxRoq8wKIB/5uCim1zks7KVle2khigJUjT1G&#10;43Ttx/bfGyt2Ldw0qlnpW9BjI6JUgnDHqI4qhu6LOR1fitDel+vo9eM9W34H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DeBf7S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NpiAIAABcFAAAOAAAAZHJzL2Uyb0RvYy54bWysVNuO2yAQfa/Uf0C8Z22nzsVWnNVmt6kq&#10;bS/Sbj+AAI5RMVAgsber/nsHnKTu5aGqmgcHPMPhzJwzXl33rURHbp3QqsLZVYoRV1QzofYV/vS4&#10;nSwxcp4oRqRWvMJP3OHr9csXq86UfKobLRm3CECUKztT4cZ7UyaJow1vibvShisI1tq2xMPW7hNm&#10;SQforUymaTpPOm2ZsZpy5+Dt3RDE64hf15z6D3XtuEeywsDNx6eNz114JusVKfeWmEbQEw3yDyxa&#10;IhRceoG6I56ggxW/QbWCWu107a+obhNd14LyWANUk6W/VPPQEMNjLdAcZy5tcv8Plr4/frRIMNAO&#10;I0VakOiR9x5tdI+ms9CezrgSsh4M5Pke3ofUUKoz95p+dkjp24aoPb+xVncNJwzoZeFkMjo64LgA&#10;suveaQb3kIPXEaivbRsAoRsI0EGmp4s0gQsNVy7SIp9CiELs1Xy2mEftElKeTxvr/BuuWxQWFbYg&#10;fUQnx3vnAxtSnlMiey0F2wop48bud7fSoiMBm2zjLxYARY7TpArJSodjA+LwBkjCHSEW6EbZn4ts&#10;mqebaTHZzpeLSb7NZ5NikS4naVZsinmaF/nd9lsgmOVlIxjj6l4ofrZglv+dxKdhGMwTTYi6Chcz&#10;kC7WNWbvxkWm8fenIlvhYSKlaCu8vCSRMgj7WjEom5SeCDmsk5/pxy5DD87/sSvRBkH5wQO+3/XR&#10;cIuzu3aaPYEvrAbZQGH4msCi0fYrRh1MZoXdlwOxHCP5VoG3iizPwyjHTT5bBFfYcWQ3jhBFAarC&#10;HqNheeuH8T8YK/YN3DS4Wekb8GMtolWCcQdWJxfD9MWaTl+KMN7jfcz68T1bfwc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Vqc2m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24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8433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06156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506C"/>
    <w:rsid w:val="00127036"/>
    <w:rsid w:val="00131D9D"/>
    <w:rsid w:val="0013762C"/>
    <w:rsid w:val="0014656F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07A"/>
    <w:rsid w:val="005428C0"/>
    <w:rsid w:val="00546D4D"/>
    <w:rsid w:val="00552191"/>
    <w:rsid w:val="00557AFD"/>
    <w:rsid w:val="00581271"/>
    <w:rsid w:val="00587148"/>
    <w:rsid w:val="005926E4"/>
    <w:rsid w:val="005A347A"/>
    <w:rsid w:val="005B3A76"/>
    <w:rsid w:val="005C4074"/>
    <w:rsid w:val="005C7621"/>
    <w:rsid w:val="005D6364"/>
    <w:rsid w:val="00620A34"/>
    <w:rsid w:val="00623BBA"/>
    <w:rsid w:val="00632E81"/>
    <w:rsid w:val="006408BD"/>
    <w:rsid w:val="00642E69"/>
    <w:rsid w:val="0066772E"/>
    <w:rsid w:val="00680A53"/>
    <w:rsid w:val="00687646"/>
    <w:rsid w:val="006949D5"/>
    <w:rsid w:val="006A0C44"/>
    <w:rsid w:val="006A5937"/>
    <w:rsid w:val="006B13EE"/>
    <w:rsid w:val="006B3ACE"/>
    <w:rsid w:val="006B5099"/>
    <w:rsid w:val="006C13EC"/>
    <w:rsid w:val="006C79F8"/>
    <w:rsid w:val="006D49A8"/>
    <w:rsid w:val="006E68A7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1819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118"/>
    <w:rsid w:val="008268DD"/>
    <w:rsid w:val="00827641"/>
    <w:rsid w:val="00831426"/>
    <w:rsid w:val="008314D5"/>
    <w:rsid w:val="00842A83"/>
    <w:rsid w:val="008503CA"/>
    <w:rsid w:val="00857909"/>
    <w:rsid w:val="00860A86"/>
    <w:rsid w:val="00862430"/>
    <w:rsid w:val="00865FB2"/>
    <w:rsid w:val="008763EB"/>
    <w:rsid w:val="00876FE8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744C3"/>
    <w:rsid w:val="009A0B01"/>
    <w:rsid w:val="009B34C6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15D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1742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7B6B"/>
    <w:rsid w:val="00F3145F"/>
    <w:rsid w:val="00F36F52"/>
    <w:rsid w:val="00F416D0"/>
    <w:rsid w:val="00F55428"/>
    <w:rsid w:val="00F563F4"/>
    <w:rsid w:val="00F704CC"/>
    <w:rsid w:val="00F70FD4"/>
    <w:rsid w:val="00F838D0"/>
    <w:rsid w:val="00F935A6"/>
    <w:rsid w:val="00F93738"/>
    <w:rsid w:val="00F93B90"/>
    <w:rsid w:val="00F93E13"/>
    <w:rsid w:val="00FB3180"/>
    <w:rsid w:val="00FB6652"/>
    <w:rsid w:val="00FD35FC"/>
    <w:rsid w:val="00FD5B92"/>
    <w:rsid w:val="00FE7AC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DEB3FAD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60F3E-2A34-4CDC-B457-E576C003DBC3}"/>
</file>

<file path=customXml/itemProps2.xml><?xml version="1.0" encoding="utf-8"?>
<ds:datastoreItem xmlns:ds="http://schemas.openxmlformats.org/officeDocument/2006/customXml" ds:itemID="{6A5D157B-96C4-419A-B152-72AFFC8EE81B}"/>
</file>

<file path=customXml/itemProps3.xml><?xml version="1.0" encoding="utf-8"?>
<ds:datastoreItem xmlns:ds="http://schemas.openxmlformats.org/officeDocument/2006/customXml" ds:itemID="{E1D399C6-9E04-4B4D-8A38-812BE6733249}"/>
</file>

<file path=customXml/itemProps4.xml><?xml version="1.0" encoding="utf-8"?>
<ds:datastoreItem xmlns:ds="http://schemas.openxmlformats.org/officeDocument/2006/customXml" ds:itemID="{AEBC5BBB-EF9C-49C2-B0F6-0889E361A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Angle grinder (Card)</dc:title>
  <dc:subject/>
  <dc:creator>COOPER, Philip;CLARK, Brian</dc:creator>
  <cp:keywords>DETE, Education Queensland</cp:keywords>
  <cp:lastModifiedBy>OVERETT, Sophie</cp:lastModifiedBy>
  <cp:revision>5</cp:revision>
  <cp:lastPrinted>2018-06-11T23:12:00Z</cp:lastPrinted>
  <dcterms:created xsi:type="dcterms:W3CDTF">2018-08-16T01:29:00Z</dcterms:created>
  <dcterms:modified xsi:type="dcterms:W3CDTF">2018-08-23T01:04:00Z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