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C17773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mains </w:t>
            </w:r>
            <w:r>
              <w:rPr>
                <w:b/>
                <w:sz w:val="16"/>
              </w:rPr>
              <w:t xml:space="preserve">electrical switches, wiring </w:t>
            </w:r>
            <w:r>
              <w:rPr>
                <w:sz w:val="16"/>
              </w:rPr>
              <w:t>and/or</w:t>
            </w:r>
            <w:r>
              <w:rPr>
                <w:b/>
                <w:sz w:val="16"/>
              </w:rPr>
              <w:t xml:space="preserve"> conduit </w:t>
            </w:r>
            <w:r>
              <w:rPr>
                <w:sz w:val="16"/>
                <w:lang w:val="en-US"/>
              </w:rPr>
              <w:t xml:space="preserve">(cracks, broken controls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Verify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function correctly (check latches, locks, fasteners and/or interlocks).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D0FC6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63379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bCs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bCs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D0FC6" w:rsidTr="00DC377A">
        <w:trPr>
          <w:cantSplit/>
          <w:trHeight w:hRule="exact" w:val="415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D0FC6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C17773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b/>
                <w:bCs/>
                <w:sz w:val="16"/>
              </w:rPr>
              <w:t>Check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blade</w:t>
            </w:r>
            <w:r>
              <w:rPr>
                <w:sz w:val="16"/>
              </w:rPr>
              <w:t xml:space="preserve"> for sharpness, true rotation, set, cracks, deformed and or broken teeth or resin build up. </w:t>
            </w:r>
            <w:r>
              <w:rPr>
                <w:b/>
                <w:bCs/>
                <w:sz w:val="16"/>
              </w:rPr>
              <w:t>Clean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push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sticks</w:t>
            </w:r>
            <w:r>
              <w:rPr>
                <w:sz w:val="16"/>
              </w:rPr>
              <w:t xml:space="preserve"> for possible repair or replacement.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D0FC6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C17773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 T</w:t>
            </w:r>
            <w:r>
              <w:rPr>
                <w:sz w:val="16"/>
                <w:lang w:val="en-US"/>
              </w:rPr>
              <w:t xml:space="preserve">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0D0FC6" w:rsidTr="00DC377A">
        <w:trPr>
          <w:cantSplit/>
          <w:trHeight w:hRule="exact" w:val="40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>Check adjustment controls for smooth operation.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D0FC6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Check dust extraction collection hoods and flexible ducting for obstructions.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Pr="003D3A56" w:rsidRDefault="000D0FC6" w:rsidP="000D0FC6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Pr="003D3A56" w:rsidRDefault="000D0FC6" w:rsidP="000D0FC6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Pr="003D3A56" w:rsidRDefault="000D0FC6" w:rsidP="000D0FC6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0D0FC6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sharp blades, etc.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0D0FC6" w:rsidRPr="00751731" w:rsidTr="000D0FC6">
        <w:trPr>
          <w:cantSplit/>
          <w:trHeight w:hRule="exact" w:val="483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fence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correct alignment </w:t>
            </w:r>
            <w:r>
              <w:rPr>
                <w:sz w:val="16"/>
              </w:rPr>
              <w:t>(squareness to table and parallel to blade) – adjust as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Check condition of any finger pla</w:t>
            </w:r>
            <w:bookmarkStart w:id="0" w:name="_GoBack"/>
            <w:bookmarkEnd w:id="0"/>
            <w:r>
              <w:rPr>
                <w:sz w:val="16"/>
              </w:rPr>
              <w:t xml:space="preserve">tes or </w:t>
            </w:r>
            <w:r>
              <w:rPr>
                <w:b/>
                <w:bCs/>
                <w:sz w:val="16"/>
              </w:rPr>
              <w:t>throat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pieces</w:t>
            </w:r>
            <w:r>
              <w:rPr>
                <w:sz w:val="16"/>
              </w:rPr>
              <w:t xml:space="preserve"> – renew if necessary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Inspect </w:t>
            </w:r>
            <w:r>
              <w:rPr>
                <w:b/>
                <w:bCs/>
                <w:sz w:val="16"/>
              </w:rPr>
              <w:t>fence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locking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mechanism</w:t>
            </w:r>
            <w:r>
              <w:rPr>
                <w:sz w:val="16"/>
              </w:rPr>
              <w:t xml:space="preserve"> for operation, and wear. Check and adjust indexing stops for 90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</w:rPr>
              <w:t xml:space="preserve"> and 45</w:t>
            </w:r>
            <w:r>
              <w:rPr>
                <w:sz w:val="16"/>
                <w:vertAlign w:val="superscript"/>
              </w:rPr>
              <w:t>o.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riving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knife</w:t>
            </w:r>
            <w:r>
              <w:rPr>
                <w:sz w:val="16"/>
              </w:rPr>
              <w:t xml:space="preserve"> is </w:t>
            </w:r>
            <w:r>
              <w:rPr>
                <w:b/>
                <w:bCs/>
                <w:sz w:val="16"/>
              </w:rPr>
              <w:t>correctly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adjusted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securely</w:t>
            </w:r>
            <w:r>
              <w:rPr>
                <w:sz w:val="16"/>
              </w:rPr>
              <w:t xml:space="preserve"> mounted.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0D0FC6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sz w:val="16"/>
              </w:rPr>
              <w:t>drive belts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flaws and correct tension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0D0FC6" w:rsidRPr="00751731" w:rsidTr="00EC02B9">
        <w:trPr>
          <w:cantSplit/>
          <w:trHeight w:hRule="exact" w:val="594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pulleys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correct alignment </w:t>
            </w:r>
            <w:r>
              <w:rPr>
                <w:sz w:val="16"/>
              </w:rPr>
              <w:t xml:space="preserve">– adjust if necessary and 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>
              <w:rPr>
                <w:b/>
                <w:sz w:val="16"/>
              </w:rPr>
              <w:t>fixed guards.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the </w:t>
            </w:r>
            <w:r>
              <w:rPr>
                <w:b/>
                <w:bCs/>
                <w:sz w:val="16"/>
              </w:rPr>
              <w:t>fence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locking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tilt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mechanism</w:t>
            </w:r>
            <w:r>
              <w:rPr>
                <w:sz w:val="16"/>
              </w:rPr>
              <w:t xml:space="preserve"> for correct operation Check for wear on threads.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D0FC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D0FC6" w:rsidRDefault="000D0FC6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the floor or base block.</w:t>
            </w: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D0FC6" w:rsidRPr="00751731" w:rsidRDefault="000D0FC6" w:rsidP="000D0FC6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884781" w:rsidRDefault="00884781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Check</w:t>
            </w:r>
            <w:r w:rsidR="000D0FC6">
              <w:rPr>
                <w:sz w:val="16"/>
              </w:rPr>
              <w:t xml:space="preserve"> the </w:t>
            </w:r>
            <w:r w:rsidR="000D0FC6" w:rsidRPr="000D0FC6">
              <w:rPr>
                <w:b/>
                <w:sz w:val="16"/>
              </w:rPr>
              <w:t>flow rate</w:t>
            </w:r>
            <w:r w:rsidR="000D0FC6">
              <w:rPr>
                <w:sz w:val="16"/>
              </w:rPr>
              <w:t xml:space="preserve"> of the </w:t>
            </w:r>
            <w:r w:rsidRPr="000D0FC6">
              <w:rPr>
                <w:sz w:val="16"/>
              </w:rPr>
              <w:t xml:space="preserve">extraction </w:t>
            </w:r>
            <w:r w:rsidR="000D0FC6">
              <w:rPr>
                <w:sz w:val="16"/>
              </w:rPr>
              <w:t>system</w:t>
            </w:r>
            <w:r w:rsidRPr="000D0FC6">
              <w:rPr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662C87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662C87">
            <w:rPr>
              <w:sz w:val="22"/>
              <w:szCs w:val="22"/>
            </w:rPr>
            <w:t xml:space="preserve"> saw – panel/table</w:t>
          </w:r>
          <w:r w:rsidR="00743871">
            <w:rPr>
              <w:sz w:val="22"/>
              <w:szCs w:val="22"/>
            </w:rPr>
            <w:t xml:space="preserve"> 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63379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B1BF8"/>
    <w:rsid w:val="002B45D5"/>
    <w:rsid w:val="0030636D"/>
    <w:rsid w:val="003768BB"/>
    <w:rsid w:val="003D3A56"/>
    <w:rsid w:val="004633B6"/>
    <w:rsid w:val="00483588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62C87"/>
    <w:rsid w:val="00692977"/>
    <w:rsid w:val="00743871"/>
    <w:rsid w:val="00751731"/>
    <w:rsid w:val="00754AED"/>
    <w:rsid w:val="00822BEC"/>
    <w:rsid w:val="00884781"/>
    <w:rsid w:val="008A32B0"/>
    <w:rsid w:val="008C5CE0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37B63"/>
    <w:rsid w:val="00B401DE"/>
    <w:rsid w:val="00C17773"/>
    <w:rsid w:val="00C50DF2"/>
    <w:rsid w:val="00C54378"/>
    <w:rsid w:val="00C85EF7"/>
    <w:rsid w:val="00CB502C"/>
    <w:rsid w:val="00CD1DA2"/>
    <w:rsid w:val="00DC377A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498CD9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2B4C8-375D-4C90-B825-E3E3CB9979F7}"/>
</file>

<file path=customXml/itemProps2.xml><?xml version="1.0" encoding="utf-8"?>
<ds:datastoreItem xmlns:ds="http://schemas.openxmlformats.org/officeDocument/2006/customXml" ds:itemID="{599CBB8A-9733-40D7-8659-3B8CF59EC5D3}"/>
</file>

<file path=customXml/itemProps3.xml><?xml version="1.0" encoding="utf-8"?>
<ds:datastoreItem xmlns:ds="http://schemas.openxmlformats.org/officeDocument/2006/customXml" ds:itemID="{C279DB7E-48FF-486C-AFB7-E91FDE882E97}"/>
</file>

<file path=customXml/itemProps4.xml><?xml version="1.0" encoding="utf-8"?>
<ds:datastoreItem xmlns:ds="http://schemas.openxmlformats.org/officeDocument/2006/customXml" ds:itemID="{DA4CB4BB-B16A-4FE6-8610-C3E5133A6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Saw panel</dc:title>
  <dc:subject/>
  <dc:creator>OVERETT, Sophie</dc:creator>
  <cp:keywords/>
  <dc:description/>
  <cp:lastModifiedBy>OVERETT, Sophie</cp:lastModifiedBy>
  <cp:revision>6</cp:revision>
  <dcterms:created xsi:type="dcterms:W3CDTF">2018-05-30T04:37:00Z</dcterms:created>
  <dcterms:modified xsi:type="dcterms:W3CDTF">2018-07-06T01:11:00Z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