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1849132</wp:posOffset>
                </wp:positionH>
                <wp:positionV relativeFrom="paragraph">
                  <wp:posOffset>533197</wp:posOffset>
                </wp:positionV>
                <wp:extent cx="2872596" cy="414068"/>
                <wp:effectExtent l="0" t="0" r="0" b="508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94EAA" w:rsidRPr="00932BA8" w:rsidRDefault="00C34090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CIRCULAR SAW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6pt;margin-top:42pt;width:226.2pt;height:32.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" filled="f" stroked="f" strokeweight=".5pt">
                <v:textbox>
                  <w:txbxContent>
                    <w:p w:rsidR="00E94EAA" w:rsidRPr="00932BA8" w:rsidRDefault="00C34090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CIRCULAR SAW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C34090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36B010A6" wp14:editId="1B7B7E62">
            <wp:simplePos x="0" y="0"/>
            <wp:positionH relativeFrom="margin">
              <wp:align>right</wp:align>
            </wp:positionH>
            <wp:positionV relativeFrom="paragraph">
              <wp:posOffset>102834</wp:posOffset>
            </wp:positionV>
            <wp:extent cx="1882800" cy="1450800"/>
            <wp:effectExtent l="0" t="0" r="3175" b="0"/>
            <wp:wrapTight wrapText="bothSides">
              <wp:wrapPolygon edited="0">
                <wp:start x="0" y="0"/>
                <wp:lineTo x="0" y="21278"/>
                <wp:lineTo x="21418" y="21278"/>
                <wp:lineTo x="21418" y="0"/>
                <wp:lineTo x="0" y="0"/>
              </wp:wrapPolygon>
            </wp:wrapTight>
            <wp:docPr id="1" name="Picture 0" descr="Circular 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lar Saw.jpg"/>
                    <pic:cNvPicPr/>
                  </pic:nvPicPr>
                  <pic:blipFill>
                    <a:blip r:embed="rId9" cstate="print"/>
                    <a:srcRect l="-738" t="3444" b="3874"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0020E3">
      <w:pPr>
        <w:tabs>
          <w:tab w:val="left" w:pos="720"/>
        </w:tabs>
        <w:spacing w:before="240" w:after="36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CD5795" w:rsidRPr="00A55D00" w:rsidTr="00CD5795">
        <w:trPr>
          <w:trHeight w:val="3154"/>
        </w:trPr>
        <w:tc>
          <w:tcPr>
            <w:tcW w:w="562" w:type="dxa"/>
            <w:shd w:val="clear" w:color="auto" w:fill="auto"/>
            <w:vAlign w:val="center"/>
          </w:tcPr>
          <w:p w:rsidR="00CD5795" w:rsidRDefault="00CD5795" w:rsidP="00CD5795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D5795" w:rsidRPr="001A209C" w:rsidRDefault="00CD5795" w:rsidP="00CD5795">
            <w:pPr>
              <w:rPr>
                <w:szCs w:val="22"/>
              </w:rPr>
            </w:pPr>
            <w:r w:rsidRPr="001A209C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961" w:type="dxa"/>
            <w:vAlign w:val="center"/>
          </w:tcPr>
          <w:p w:rsidR="00CD5795" w:rsidRPr="00847622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</w:t>
            </w:r>
            <w:r w:rsidRPr="00847622">
              <w:rPr>
                <w:color w:val="000000"/>
                <w:sz w:val="20"/>
              </w:rPr>
              <w:t xml:space="preserve">ting thin stock or panels with the blade protruding no more than 8mm below the underneath surface.   </w:t>
            </w:r>
          </w:p>
          <w:p w:rsidR="00CD579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When a straightedge is clamped to the work surface to guide the saw for a true, clean cut. The saw </w:t>
            </w:r>
            <w:r w:rsidRPr="00252D68">
              <w:rPr>
                <w:color w:val="000000"/>
                <w:sz w:val="20"/>
              </w:rPr>
              <w:t xml:space="preserve">may kick back if </w:t>
            </w:r>
            <w:r>
              <w:rPr>
                <w:color w:val="000000"/>
                <w:sz w:val="20"/>
              </w:rPr>
              <w:t xml:space="preserve">the material is </w:t>
            </w:r>
            <w:r w:rsidRPr="00252D68">
              <w:rPr>
                <w:color w:val="000000"/>
                <w:sz w:val="20"/>
              </w:rPr>
              <w:t>not properly secured.</w:t>
            </w:r>
          </w:p>
          <w:p w:rsidR="00CD5795" w:rsidRPr="00CD34D8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12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students are under close, direct supervision of a qualified ITD teacher.</w:t>
            </w:r>
          </w:p>
        </w:tc>
        <w:tc>
          <w:tcPr>
            <w:tcW w:w="3285" w:type="dxa"/>
            <w:vAlign w:val="center"/>
          </w:tcPr>
          <w:p w:rsidR="00CD5795" w:rsidRPr="001A22D5" w:rsidRDefault="00CD5795" w:rsidP="00CD5795">
            <w:pPr>
              <w:pStyle w:val="BlockText"/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CD5795" w:rsidRPr="00A55D00" w:rsidRDefault="00CD5795" w:rsidP="00CD5795">
            <w:pPr>
              <w:numPr>
                <w:ilvl w:val="0"/>
                <w:numId w:val="16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CD5795" w:rsidRPr="00A55D00" w:rsidTr="00CD5795">
        <w:trPr>
          <w:trHeight w:val="2684"/>
        </w:trPr>
        <w:tc>
          <w:tcPr>
            <w:tcW w:w="562" w:type="dxa"/>
            <w:shd w:val="clear" w:color="auto" w:fill="auto"/>
            <w:vAlign w:val="center"/>
          </w:tcPr>
          <w:p w:rsidR="00CD5795" w:rsidRDefault="00CD5795" w:rsidP="00CD5795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CD5795" w:rsidRPr="001A209C" w:rsidRDefault="00CD5795" w:rsidP="00CD5795">
            <w:pPr>
              <w:rPr>
                <w:szCs w:val="22"/>
              </w:rPr>
            </w:pPr>
            <w:r w:rsidRPr="001A209C">
              <w:rPr>
                <w:b/>
                <w:color w:val="FFFFFF"/>
                <w:sz w:val="22"/>
                <w:szCs w:val="22"/>
              </w:rPr>
              <w:t>High</w:t>
            </w:r>
          </w:p>
        </w:tc>
        <w:tc>
          <w:tcPr>
            <w:tcW w:w="4961" w:type="dxa"/>
            <w:vAlign w:val="center"/>
          </w:tcPr>
          <w:p w:rsidR="00CD5795" w:rsidRPr="00847622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color w:val="000000"/>
                <w:sz w:val="20"/>
              </w:rPr>
            </w:pPr>
            <w:r w:rsidRPr="00CD34D8">
              <w:rPr>
                <w:color w:val="000000"/>
                <w:sz w:val="20"/>
              </w:rPr>
              <w:t xml:space="preserve">When the </w:t>
            </w:r>
            <w:r>
              <w:rPr>
                <w:color w:val="000000"/>
                <w:sz w:val="20"/>
              </w:rPr>
              <w:t xml:space="preserve">saw </w:t>
            </w:r>
            <w:r w:rsidRPr="00CD34D8">
              <w:rPr>
                <w:color w:val="000000"/>
                <w:sz w:val="20"/>
              </w:rPr>
              <w:t>blade is extended f</w:t>
            </w:r>
            <w:r>
              <w:rPr>
                <w:color w:val="000000"/>
                <w:sz w:val="20"/>
              </w:rPr>
              <w:t xml:space="preserve">or cutting thicker stock or for cutting acrylic sheet.  </w:t>
            </w:r>
          </w:p>
          <w:p w:rsidR="00CD5795" w:rsidRPr="00CD3E5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num" w:pos="284"/>
              </w:tabs>
              <w:spacing w:before="60" w:after="40"/>
              <w:ind w:left="284" w:hanging="284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When </w:t>
            </w:r>
            <w:r w:rsidRPr="00847622">
              <w:rPr>
                <w:rFonts w:cs="Arial"/>
                <w:color w:val="000000"/>
                <w:sz w:val="20"/>
              </w:rPr>
              <w:t xml:space="preserve">the </w:t>
            </w:r>
            <w:r>
              <w:rPr>
                <w:rFonts w:cs="Arial"/>
                <w:color w:val="000000"/>
                <w:sz w:val="20"/>
              </w:rPr>
              <w:t xml:space="preserve">blade </w:t>
            </w:r>
            <w:r w:rsidRPr="00847622">
              <w:rPr>
                <w:rFonts w:cs="Arial"/>
                <w:color w:val="000000"/>
                <w:sz w:val="20"/>
              </w:rPr>
              <w:t xml:space="preserve">guard </w:t>
            </w:r>
            <w:r>
              <w:rPr>
                <w:rFonts w:cs="Arial"/>
                <w:color w:val="000000"/>
                <w:sz w:val="20"/>
              </w:rPr>
              <w:t>needs to be held back by hand to begin a cut.</w:t>
            </w:r>
          </w:p>
          <w:p w:rsidR="00CD5795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4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cutting</w:t>
            </w:r>
            <w:r w:rsidRPr="00252D68">
              <w:rPr>
                <w:color w:val="000000"/>
                <w:sz w:val="20"/>
              </w:rPr>
              <w:t xml:space="preserve"> dense hardwood</w:t>
            </w:r>
            <w:r>
              <w:rPr>
                <w:color w:val="000000"/>
                <w:sz w:val="20"/>
              </w:rPr>
              <w:t>s likely cause se</w:t>
            </w:r>
            <w:r>
              <w:rPr>
                <w:color w:val="000000"/>
                <w:sz w:val="20"/>
              </w:rPr>
              <w:t>ver</w:t>
            </w:r>
            <w:r>
              <w:rPr>
                <w:color w:val="000000"/>
                <w:sz w:val="20"/>
              </w:rPr>
              <w:t>e kickback.</w:t>
            </w:r>
          </w:p>
          <w:p w:rsidR="00CD5795" w:rsidRPr="00390F58" w:rsidRDefault="00CD5795" w:rsidP="00CD5795">
            <w:pPr>
              <w:numPr>
                <w:ilvl w:val="0"/>
                <w:numId w:val="28"/>
              </w:numPr>
              <w:tabs>
                <w:tab w:val="clear" w:pos="720"/>
                <w:tab w:val="left" w:pos="284"/>
              </w:tabs>
              <w:spacing w:before="60" w:after="4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students are NOT always under the supervision of a qualified ITD teacher.</w:t>
            </w:r>
          </w:p>
        </w:tc>
        <w:tc>
          <w:tcPr>
            <w:tcW w:w="3285" w:type="dxa"/>
            <w:vAlign w:val="center"/>
          </w:tcPr>
          <w:p w:rsidR="00CD5795" w:rsidRPr="001A22D5" w:rsidRDefault="00CD5795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CD5795" w:rsidRPr="001A22D5" w:rsidRDefault="00CD5795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Principal </w:t>
            </w:r>
            <w:r>
              <w:t>or Classified Officer  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CD5795" w:rsidRPr="001A22D5" w:rsidRDefault="00CD5795" w:rsidP="00CD579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bCs/>
                <w:iCs/>
                <w:color w:val="000080"/>
                <w:sz w:val="20"/>
              </w:rPr>
            </w:r>
            <w:r w:rsidR="00E94EAA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bCs/>
                <w:iCs/>
                <w:color w:val="000080"/>
                <w:sz w:val="20"/>
              </w:rPr>
            </w:r>
            <w:r w:rsidR="00E94EAA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1C518B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CD5795" w:rsidRPr="00A55D00" w:rsidTr="001C518B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CD5795" w:rsidRPr="005E17E1" w:rsidRDefault="00CD5795" w:rsidP="00CD5795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CD5795" w:rsidRPr="005E17E1" w:rsidRDefault="00CD5795" w:rsidP="00CD5795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CD5795" w:rsidRPr="00997FE4" w:rsidRDefault="00CD5795" w:rsidP="00CD5795">
            <w:pPr>
              <w:numPr>
                <w:ilvl w:val="0"/>
                <w:numId w:val="17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CD5795" w:rsidRPr="00B70012" w:rsidRDefault="00CD5795" w:rsidP="00CD5795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CD5795" w:rsidRPr="002A6993" w:rsidRDefault="00CD5795" w:rsidP="00CD5795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CD5795" w:rsidRDefault="00CD5795" w:rsidP="00CD5795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CD5795" w:rsidRPr="0030684D" w:rsidRDefault="00CD5795" w:rsidP="00CD5795">
            <w:pPr>
              <w:pStyle w:val="BodyText"/>
              <w:keepNext/>
              <w:keepLines/>
              <w:numPr>
                <w:ilvl w:val="0"/>
                <w:numId w:val="29"/>
              </w:numPr>
              <w:tabs>
                <w:tab w:val="left" w:pos="227"/>
              </w:tabs>
              <w:snapToGrid w:val="0"/>
              <w:spacing w:before="120" w:after="0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Cutting, Stabbing </w:t>
            </w:r>
          </w:p>
          <w:p w:rsidR="00CD5795" w:rsidRPr="0030684D" w:rsidRDefault="00CD5795" w:rsidP="00CD5795">
            <w:pPr>
              <w:pStyle w:val="BodyText"/>
              <w:keepNext/>
              <w:keepLines/>
              <w:tabs>
                <w:tab w:val="left" w:pos="227"/>
              </w:tabs>
              <w:snapToGrid w:val="0"/>
              <w:spacing w:after="60"/>
              <w:ind w:left="340"/>
              <w:rPr>
                <w:rFonts w:cs="Arial"/>
                <w:sz w:val="18"/>
                <w:szCs w:val="18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z w:val="20"/>
              </w:rPr>
              <w:t xml:space="preserve"> P</w:t>
            </w:r>
            <w:r w:rsidRPr="002A6993">
              <w:rPr>
                <w:b/>
                <w:sz w:val="20"/>
              </w:rPr>
              <w:t>uncturing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/>
              <w:rPr>
                <w:sz w:val="18"/>
                <w:szCs w:val="18"/>
              </w:rPr>
            </w:pPr>
          </w:p>
          <w:p w:rsidR="00CD5795" w:rsidRPr="002A6993" w:rsidRDefault="00CD5795" w:rsidP="00CD5795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circular saws,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>, particularly the rotating cutting blade.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(SOPs) are available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A55D00" w:rsidRDefault="00CD5795" w:rsidP="00CD5795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F361FB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circular saw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6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CD5795" w:rsidRPr="002A6993" w:rsidRDefault="00CD5795" w:rsidP="00CD5795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CD5795" w:rsidRPr="004D22AE" w:rsidRDefault="00CD5795" w:rsidP="00CD5795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Pr="002A6993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CD5795" w:rsidRPr="002568E6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CD5795" w:rsidRPr="00A55D00" w:rsidTr="001C518B">
        <w:trPr>
          <w:cantSplit/>
          <w:trHeight w:val="691"/>
        </w:trPr>
        <w:tc>
          <w:tcPr>
            <w:tcW w:w="2661" w:type="dxa"/>
            <w:vMerge w:val="restart"/>
          </w:tcPr>
          <w:p w:rsidR="00CD5795" w:rsidRDefault="00CD5795" w:rsidP="00CD5795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CD5795" w:rsidRPr="005E17E1" w:rsidRDefault="00CD5795" w:rsidP="00CD579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CD5795" w:rsidRDefault="00CD5795" w:rsidP="00CD5795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  <w:p w:rsidR="00CD5795" w:rsidRPr="00BD6FAB" w:rsidRDefault="00CD5795" w:rsidP="00CD5795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Default="00CD5795" w:rsidP="00CD5795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circular sawing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CD5795" w:rsidRPr="002A6993" w:rsidRDefault="00CD5795" w:rsidP="00CD5795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CD5795" w:rsidRDefault="00CD5795" w:rsidP="00CD5795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CD5795" w:rsidRDefault="00CD5795" w:rsidP="00CD5795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Pr="00A55D00" w:rsidRDefault="00CD5795" w:rsidP="00CD5795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D5795" w:rsidRDefault="00CD5795" w:rsidP="00CD5795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CD5795" w:rsidRPr="002A503A" w:rsidRDefault="00CD5795" w:rsidP="00CD5795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CD5795" w:rsidRPr="002A6993" w:rsidRDefault="00CD5795" w:rsidP="00CD5795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CD5795" w:rsidRPr="002A6993" w:rsidRDefault="00CD5795" w:rsidP="00CD579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CD5795" w:rsidRDefault="00CD5795" w:rsidP="00CD5795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CD5795" w:rsidRPr="00870CEC" w:rsidRDefault="00CD5795" w:rsidP="00CD5795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CD5795" w:rsidRPr="002A6993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CD5795" w:rsidRPr="002A6993" w:rsidRDefault="00CD5795" w:rsidP="00CD579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CD5795" w:rsidRDefault="00CD5795" w:rsidP="00CD5795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CD5795" w:rsidRPr="002A6993" w:rsidRDefault="00CD5795" w:rsidP="00CD5795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CD5795" w:rsidRDefault="00CD5795" w:rsidP="00CD5795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CD5795" w:rsidRPr="006A148F" w:rsidRDefault="00CD5795" w:rsidP="00CD5795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all circular saws,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6D497C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767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2A6993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CD5795">
        <w:trPr>
          <w:cantSplit/>
          <w:trHeight w:val="527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4A7F5A" w:rsidRDefault="00CD5795" w:rsidP="00CD5795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CD5795">
        <w:trPr>
          <w:cantSplit/>
          <w:trHeight w:val="506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E80C0E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CD5795" w:rsidRPr="00A55D00" w:rsidTr="00CD5795">
        <w:trPr>
          <w:cantSplit/>
          <w:trHeight w:val="929"/>
        </w:trPr>
        <w:tc>
          <w:tcPr>
            <w:tcW w:w="2661" w:type="dxa"/>
            <w:vMerge/>
          </w:tcPr>
          <w:p w:rsidR="00CD5795" w:rsidRPr="005E17E1" w:rsidRDefault="00CD5795" w:rsidP="00CD579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CD5795" w:rsidRPr="004A7F5A" w:rsidRDefault="00CD5795" w:rsidP="00CD5795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CD5795" w:rsidRPr="00A55D00" w:rsidRDefault="00CD5795" w:rsidP="00CD5795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CD5795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CD5795" w:rsidRPr="002568E6" w:rsidRDefault="00CD5795" w:rsidP="00CD5795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25480F" w:rsidRPr="00A55D00" w:rsidTr="00CD5795">
        <w:trPr>
          <w:cantSplit/>
          <w:trHeight w:val="1372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25480F" w:rsidRPr="002A6993" w:rsidRDefault="0025480F" w:rsidP="0025480F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25480F" w:rsidRPr="002568E6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25480F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25480F" w:rsidRPr="002A6993" w:rsidRDefault="0025480F" w:rsidP="0025480F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25480F" w:rsidRDefault="0025480F" w:rsidP="0025480F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25480F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  <w:p w:rsidR="0025480F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  <w:p w:rsidR="0025480F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  <w:p w:rsidR="0025480F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F40031" w:rsidRDefault="0025480F" w:rsidP="0025480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only to be used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480F" w:rsidRPr="00A55D00" w:rsidTr="001C518B">
        <w:trPr>
          <w:cantSplit/>
          <w:trHeight w:val="878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F361FB" w:rsidRDefault="0025480F" w:rsidP="0025480F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455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480F" w:rsidRDefault="0025480F" w:rsidP="0025480F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  <w:p w:rsidR="0025480F" w:rsidRPr="00D32E01" w:rsidRDefault="0025480F" w:rsidP="0025480F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25480F" w:rsidRPr="002568E6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25480F" w:rsidRPr="00A55D00" w:rsidTr="001C518B">
        <w:trPr>
          <w:cantSplit/>
          <w:trHeight w:val="189"/>
        </w:trPr>
        <w:tc>
          <w:tcPr>
            <w:tcW w:w="2661" w:type="dxa"/>
            <w:vMerge w:val="restart"/>
          </w:tcPr>
          <w:p w:rsidR="0025480F" w:rsidRPr="005E17E1" w:rsidRDefault="0025480F" w:rsidP="0025480F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25480F" w:rsidRDefault="0025480F" w:rsidP="0025480F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25480F" w:rsidRPr="00CE1C9E" w:rsidRDefault="0025480F" w:rsidP="0025480F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25480F" w:rsidRDefault="0025480F" w:rsidP="0025480F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25480F" w:rsidRDefault="0025480F" w:rsidP="0025480F">
            <w:pPr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25480F" w:rsidRDefault="0025480F" w:rsidP="0025480F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vapours, fumes or airborne toxic wood dust particulates?</w:t>
            </w:r>
          </w:p>
          <w:p w:rsidR="0025480F" w:rsidRDefault="0025480F" w:rsidP="0025480F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25480F" w:rsidRPr="002568E6" w:rsidRDefault="0025480F" w:rsidP="0025480F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all circular saws,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446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6D497C" w:rsidRDefault="0025480F" w:rsidP="0025480F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86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 or toxic wood dusts resulting from this wood cutting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480F" w:rsidRPr="00A55D00" w:rsidTr="001C518B">
        <w:trPr>
          <w:cantSplit/>
          <w:trHeight w:val="399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699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circular saw activates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307"/>
        </w:trPr>
        <w:tc>
          <w:tcPr>
            <w:tcW w:w="2661" w:type="dxa"/>
            <w:vMerge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166AC3" w:rsidRDefault="0025480F" w:rsidP="0025480F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provided </w:t>
            </w:r>
            <w:r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25480F" w:rsidRPr="002A6993" w:rsidRDefault="0025480F" w:rsidP="0025480F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824"/>
        </w:trPr>
        <w:tc>
          <w:tcPr>
            <w:tcW w:w="2661" w:type="dxa"/>
            <w:vMerge w:val="restart"/>
          </w:tcPr>
          <w:p w:rsidR="0025480F" w:rsidRPr="005E17E1" w:rsidRDefault="0025480F" w:rsidP="0025480F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25480F" w:rsidRPr="005E17E1" w:rsidRDefault="0025480F" w:rsidP="0025480F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5480F" w:rsidRDefault="0025480F" w:rsidP="0025480F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25480F" w:rsidRPr="0025480F" w:rsidRDefault="0025480F" w:rsidP="002548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Default="0025480F" w:rsidP="0025480F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480F" w:rsidRDefault="0025480F" w:rsidP="0025480F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with regard to manual handling techniques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Default="0025480F" w:rsidP="0025480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80"/>
        </w:trPr>
        <w:tc>
          <w:tcPr>
            <w:tcW w:w="2661" w:type="dxa"/>
            <w:vMerge w:val="restart"/>
          </w:tcPr>
          <w:p w:rsidR="0025480F" w:rsidRPr="002A6993" w:rsidRDefault="0025480F" w:rsidP="0025480F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480F" w:rsidRDefault="0025480F" w:rsidP="0025480F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480F" w:rsidRPr="00033942" w:rsidRDefault="0025480F" w:rsidP="0025480F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480F" w:rsidRPr="002A6993" w:rsidRDefault="0025480F" w:rsidP="0025480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regarding procedures for the correct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1C518B">
        <w:trPr>
          <w:cantSplit/>
          <w:trHeight w:val="180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480F" w:rsidRDefault="0025480F" w:rsidP="0025480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480F" w:rsidRPr="00A55D00" w:rsidTr="00B92B6E">
        <w:trPr>
          <w:cantSplit/>
          <w:trHeight w:val="1179"/>
        </w:trPr>
        <w:tc>
          <w:tcPr>
            <w:tcW w:w="2661" w:type="dxa"/>
            <w:vMerge/>
          </w:tcPr>
          <w:p w:rsidR="0025480F" w:rsidRDefault="0025480F" w:rsidP="0025480F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480F" w:rsidRPr="0025480F" w:rsidRDefault="0025480F" w:rsidP="0025480F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Safety signage is posted clearly denoting the location of all fire safety items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emergenc</w:t>
            </w:r>
            <w:r>
              <w:rPr>
                <w:rFonts w:cs="Arial"/>
                <w:color w:val="000000"/>
                <w:sz w:val="18"/>
                <w:szCs w:val="18"/>
              </w:rPr>
              <w:t>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exits.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Pr="00A55D00" w:rsidRDefault="0025480F" w:rsidP="0025480F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480F" w:rsidRDefault="0025480F" w:rsidP="0025480F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0B3AE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-MMM-yy"/>
                  </w:textInput>
                </w:ffData>
              </w:fldChar>
            </w:r>
            <w:r w:rsidRPr="000B3AE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0B3AE6">
              <w:rPr>
                <w:rFonts w:cs="Arial"/>
                <w:b/>
                <w:color w:val="000080"/>
                <w:sz w:val="20"/>
              </w:rPr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t> </w:t>
            </w:r>
            <w:r w:rsidRPr="000B3AE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B92B6E" w:rsidRPr="001E7147" w:rsidRDefault="00B92B6E" w:rsidP="00B92B6E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183EB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183EB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183EB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183EB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183EB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183EB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Default="00B92B6E" w:rsidP="00183EBB"/>
          <w:p w:rsidR="00B92B6E" w:rsidRPr="00D30FA1" w:rsidRDefault="00B92B6E" w:rsidP="00183EBB"/>
        </w:tc>
        <w:tc>
          <w:tcPr>
            <w:tcW w:w="7505" w:type="dxa"/>
            <w:shd w:val="clear" w:color="auto" w:fill="auto"/>
          </w:tcPr>
          <w:p w:rsidR="00B92B6E" w:rsidRPr="00A55D00" w:rsidRDefault="00B92B6E" w:rsidP="00183EB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B92B6E" w:rsidRPr="00047F53" w:rsidRDefault="00B92B6E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94EAA">
              <w:rPr>
                <w:rFonts w:cs="Arial"/>
                <w:b/>
                <w:color w:val="000080"/>
                <w:sz w:val="22"/>
              </w:rPr>
            </w:r>
            <w:r w:rsidR="00E94EAA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94EAA">
              <w:rPr>
                <w:rFonts w:cs="Arial"/>
                <w:b/>
                <w:color w:val="000080"/>
                <w:sz w:val="22"/>
              </w:rPr>
            </w:r>
            <w:r w:rsidR="00E94EAA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E94EAA">
              <w:rPr>
                <w:rFonts w:cs="Arial"/>
                <w:b/>
                <w:color w:val="000080"/>
                <w:sz w:val="22"/>
              </w:rPr>
            </w:r>
            <w:r w:rsidR="00E94EAA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bookmarkStart w:id="3" w:name="_GoBack"/>
            <w:bookmarkEnd w:id="3"/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</w:r>
            <w:r w:rsidR="00E94EA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AA" w:rsidRDefault="00E94EAA">
      <w:r>
        <w:separator/>
      </w:r>
    </w:p>
  </w:endnote>
  <w:endnote w:type="continuationSeparator" w:id="0">
    <w:p w:rsidR="00E94EAA" w:rsidRDefault="00E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AA" w:rsidRPr="00441959" w:rsidRDefault="00E94EAA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E94EAA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E94EAA" w:rsidRPr="005246DF" w:rsidRDefault="00E94EA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6C675C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E94EAA" w:rsidRPr="00F06006" w:rsidRDefault="00E94EAA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E94EAA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E94EAA" w:rsidRPr="005246DF" w:rsidRDefault="00E94EAA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6C675C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E94EAA" w:rsidRPr="00F06006" w:rsidRDefault="00E94EAA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EAA" w:rsidRPr="00D65DEB" w:rsidRDefault="00E94EAA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E94EAA" w:rsidRPr="00D65DEB" w:rsidRDefault="00E94EAA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AA" w:rsidRDefault="00E94EAA">
      <w:r>
        <w:separator/>
      </w:r>
    </w:p>
  </w:footnote>
  <w:footnote w:type="continuationSeparator" w:id="0">
    <w:p w:rsidR="00E94EAA" w:rsidRDefault="00E94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7"/>
  </w:num>
  <w:num w:numId="5">
    <w:abstractNumId w:val="25"/>
  </w:num>
  <w:num w:numId="6">
    <w:abstractNumId w:val="2"/>
  </w:num>
  <w:num w:numId="7">
    <w:abstractNumId w:val="13"/>
  </w:num>
  <w:num w:numId="8">
    <w:abstractNumId w:val="18"/>
  </w:num>
  <w:num w:numId="9">
    <w:abstractNumId w:val="27"/>
  </w:num>
  <w:num w:numId="10">
    <w:abstractNumId w:val="9"/>
  </w:num>
  <w:num w:numId="11">
    <w:abstractNumId w:val="26"/>
  </w:num>
  <w:num w:numId="12">
    <w:abstractNumId w:val="22"/>
  </w:num>
  <w:num w:numId="13">
    <w:abstractNumId w:val="3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3"/>
  </w:num>
  <w:num w:numId="17">
    <w:abstractNumId w:val="5"/>
  </w:num>
  <w:num w:numId="18">
    <w:abstractNumId w:val="11"/>
  </w:num>
  <w:num w:numId="19">
    <w:abstractNumId w:val="12"/>
  </w:num>
  <w:num w:numId="20">
    <w:abstractNumId w:val="14"/>
  </w:num>
  <w:num w:numId="21">
    <w:abstractNumId w:val="7"/>
  </w:num>
  <w:num w:numId="22">
    <w:abstractNumId w:val="20"/>
  </w:num>
  <w:num w:numId="23">
    <w:abstractNumId w:val="28"/>
  </w:num>
  <w:num w:numId="24">
    <w:abstractNumId w:val="4"/>
  </w:num>
  <w:num w:numId="25">
    <w:abstractNumId w:val="6"/>
  </w:num>
  <w:num w:numId="26">
    <w:abstractNumId w:val="24"/>
  </w:num>
  <w:num w:numId="27">
    <w:abstractNumId w:val="21"/>
  </w:num>
  <w:num w:numId="28">
    <w:abstractNumId w:val="0"/>
  </w:num>
  <w:num w:numId="29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A6275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675C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080537B3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F2241A1-F568-44CF-83D8-9FAD874C5D51}"/>
</file>

<file path=customXml/itemProps2.xml><?xml version="1.0" encoding="utf-8"?>
<ds:datastoreItem xmlns:ds="http://schemas.openxmlformats.org/officeDocument/2006/customXml" ds:itemID="{6FFB8460-6A45-4C37-BDC0-8DC595DD7ADC}"/>
</file>

<file path=customXml/itemProps3.xml><?xml version="1.0" encoding="utf-8"?>
<ds:datastoreItem xmlns:ds="http://schemas.openxmlformats.org/officeDocument/2006/customXml" ds:itemID="{3DAF96A0-BA35-4FDA-972A-7D4F02FC9BC1}"/>
</file>

<file path=customXml/itemProps4.xml><?xml version="1.0" encoding="utf-8"?>
<ds:datastoreItem xmlns:ds="http://schemas.openxmlformats.org/officeDocument/2006/customXml" ds:itemID="{D4DF6AFB-2D5D-49F6-9FB6-62B13C3723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2332</Words>
  <Characters>16082</Characters>
  <Application>Microsoft Office Word</Application>
  <DocSecurity>0</DocSecurity>
  <Lines>134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Circular saw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2018-07-09T01:24:00Z</dcterms:created>
  <dcterms:modified xsi:type="dcterms:W3CDTF">2018-07-09T01:24:00Z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