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1952649</wp:posOffset>
                </wp:positionH>
                <wp:positionV relativeFrom="paragraph">
                  <wp:posOffset>421053</wp:posOffset>
                </wp:positionV>
                <wp:extent cx="2579370" cy="526211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5262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40CB" w:rsidRPr="00B040CB" w:rsidRDefault="00B040CB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HOT WIRE POKER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Pyrograph 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3.75pt;margin-top:33.15pt;width:203.1pt;height:41.4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" filled="f" stroked="f" strokeweight=".5pt">
                <v:textbox>
                  <w:txbxContent>
                    <w:p w:rsidR="00B040CB" w:rsidRPr="00B040CB" w:rsidRDefault="00B040CB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HOT WIRE POKER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>Pyrograph Pen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B040CB" w:rsidP="006D511B">
      <w:pPr>
        <w:pStyle w:val="Heading2"/>
        <w:spacing w:before="240" w:after="0" w:line="240" w:lineRule="auto"/>
        <w:rPr>
          <w:sz w:val="36"/>
          <w:szCs w:val="36"/>
        </w:rPr>
      </w:pPr>
      <w:r>
        <w:rPr>
          <w:noProof/>
          <w:sz w:val="36"/>
          <w:szCs w:val="36"/>
          <w:lang w:eastAsia="zh-TW"/>
        </w:rPr>
        <w:drawing>
          <wp:anchor distT="0" distB="107950" distL="114300" distR="114300" simplePos="0" relativeHeight="251667968" behindDoc="1" locked="0" layoutInCell="1" allowOverlap="1" wp14:anchorId="175CD1C0" wp14:editId="5EE76ADF">
            <wp:simplePos x="0" y="0"/>
            <wp:positionH relativeFrom="margin">
              <wp:align>right</wp:align>
            </wp:positionH>
            <wp:positionV relativeFrom="paragraph">
              <wp:posOffset>137339</wp:posOffset>
            </wp:positionV>
            <wp:extent cx="1929600" cy="1404000"/>
            <wp:effectExtent l="0" t="0" r="0" b="5715"/>
            <wp:wrapTight wrapText="bothSides">
              <wp:wrapPolygon edited="0">
                <wp:start x="0" y="0"/>
                <wp:lineTo x="0" y="21395"/>
                <wp:lineTo x="21330" y="21395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core CabaTe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4" b="14084"/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EF5BB7" w:rsidP="005C2C70">
      <w:pPr>
        <w:tabs>
          <w:tab w:val="left" w:pos="720"/>
        </w:tabs>
        <w:spacing w:before="120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This document is to be completed for staff and student use of machinery, </w:t>
      </w:r>
      <w:r w:rsidR="00B040CB">
        <w:rPr>
          <w:rFonts w:eastAsia="SimSun" w:cs="Arial"/>
          <w:color w:val="000000"/>
          <w:sz w:val="20"/>
          <w:lang w:eastAsia="zh-CN"/>
        </w:rPr>
        <w:br/>
      </w:r>
      <w:r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Pr="002533FD" w:rsidRDefault="00EF5BB7" w:rsidP="00EF5BB7">
      <w:pPr>
        <w:tabs>
          <w:tab w:val="left" w:pos="720"/>
        </w:tabs>
        <w:spacing w:before="240" w:after="120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0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1E55B6">
        <w:trPr>
          <w:trHeight w:val="489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205A8C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205A8C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3569"/>
      </w:tblGrid>
      <w:tr w:rsidR="00F235F9" w:rsidRPr="00A55D00" w:rsidTr="001E55B6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677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569" w:type="dxa"/>
            <w:shd w:val="clear" w:color="auto" w:fill="E6E6E6"/>
            <w:vAlign w:val="center"/>
          </w:tcPr>
          <w:p w:rsidR="00F235F9" w:rsidRPr="00035006" w:rsidRDefault="00F235F9" w:rsidP="00035006">
            <w:pPr>
              <w:tabs>
                <w:tab w:val="left" w:pos="1132"/>
                <w:tab w:val="center" w:pos="4748"/>
              </w:tabs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       Action Required/Approval</w:t>
            </w:r>
          </w:p>
        </w:tc>
      </w:tr>
      <w:tr w:rsidR="00B040CB" w:rsidRPr="00A55D00" w:rsidTr="00B040CB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B040CB" w:rsidRPr="00630891" w:rsidRDefault="00B040CB" w:rsidP="00B040CB">
            <w:pPr>
              <w:ind w:left="62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B040CB" w:rsidRPr="00247C40" w:rsidRDefault="00B040CB" w:rsidP="00B040CB">
            <w:pPr>
              <w:rPr>
                <w:szCs w:val="22"/>
              </w:rPr>
            </w:pPr>
            <w:r w:rsidRPr="00247C40"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677" w:type="dxa"/>
            <w:vAlign w:val="center"/>
          </w:tcPr>
          <w:p w:rsidR="00B040CB" w:rsidRDefault="00B040CB" w:rsidP="00B040CB">
            <w:pPr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spacing w:before="120" w:after="120"/>
              <w:ind w:left="249" w:hanging="2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e</w:t>
            </w:r>
            <w:r w:rsidRPr="00945554">
              <w:rPr>
                <w:color w:val="000000"/>
                <w:sz w:val="20"/>
              </w:rPr>
              <w:t xml:space="preserve">mbossing on various types of wood and leather. </w:t>
            </w:r>
          </w:p>
          <w:p w:rsidR="00B040CB" w:rsidRPr="00945554" w:rsidRDefault="00B040CB" w:rsidP="00B040CB">
            <w:pPr>
              <w:numPr>
                <w:ilvl w:val="0"/>
                <w:numId w:val="48"/>
              </w:numPr>
              <w:tabs>
                <w:tab w:val="clear" w:pos="720"/>
                <w:tab w:val="num" w:pos="252"/>
              </w:tabs>
              <w:spacing w:before="120" w:after="120"/>
              <w:ind w:left="249" w:hanging="2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creating decorative a</w:t>
            </w:r>
            <w:r w:rsidRPr="00945554">
              <w:rPr>
                <w:color w:val="000000"/>
                <w:sz w:val="20"/>
              </w:rPr>
              <w:t xml:space="preserve">rt work such as tracing </w:t>
            </w:r>
            <w:r>
              <w:rPr>
                <w:color w:val="000000"/>
                <w:sz w:val="20"/>
              </w:rPr>
              <w:t>sketched outlines or freestyle designs</w:t>
            </w:r>
            <w:r w:rsidRPr="00945554"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3569" w:type="dxa"/>
            <w:vAlign w:val="center"/>
          </w:tcPr>
          <w:p w:rsidR="00B040CB" w:rsidRPr="00A55D00" w:rsidRDefault="00B040CB" w:rsidP="00B040CB">
            <w:pPr>
              <w:numPr>
                <w:ilvl w:val="0"/>
                <w:numId w:val="47"/>
              </w:numPr>
              <w:tabs>
                <w:tab w:val="clear" w:pos="612"/>
                <w:tab w:val="num" w:pos="301"/>
              </w:tabs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  <w:tr w:rsidR="00B040CB" w:rsidRPr="00A55D00" w:rsidTr="00B040CB">
        <w:trPr>
          <w:trHeight w:val="2431"/>
        </w:trPr>
        <w:tc>
          <w:tcPr>
            <w:tcW w:w="562" w:type="dxa"/>
            <w:shd w:val="clear" w:color="auto" w:fill="auto"/>
            <w:vAlign w:val="center"/>
          </w:tcPr>
          <w:p w:rsidR="00B040CB" w:rsidRDefault="00B040CB" w:rsidP="00B040CB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B040CB" w:rsidRPr="00247C40" w:rsidRDefault="00B040CB" w:rsidP="00B040CB">
            <w:pPr>
              <w:rPr>
                <w:szCs w:val="22"/>
              </w:rPr>
            </w:pPr>
            <w:r w:rsidRPr="00247C40">
              <w:rPr>
                <w:b/>
                <w:sz w:val="22"/>
                <w:szCs w:val="22"/>
              </w:rPr>
              <w:t>Medium</w:t>
            </w:r>
          </w:p>
        </w:tc>
        <w:tc>
          <w:tcPr>
            <w:tcW w:w="4677" w:type="dxa"/>
            <w:vAlign w:val="center"/>
          </w:tcPr>
          <w:p w:rsidR="00B040CB" w:rsidRPr="00945554" w:rsidRDefault="00B040CB" w:rsidP="00B040CB">
            <w:pPr>
              <w:numPr>
                <w:ilvl w:val="0"/>
                <w:numId w:val="49"/>
              </w:numPr>
              <w:tabs>
                <w:tab w:val="clear" w:pos="612"/>
                <w:tab w:val="num" w:pos="252"/>
              </w:tabs>
              <w:spacing w:before="120" w:after="120"/>
              <w:ind w:left="249" w:hanging="249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When c</w:t>
            </w:r>
            <w:r w:rsidRPr="00945554">
              <w:rPr>
                <w:color w:val="000000"/>
                <w:sz w:val="20"/>
              </w:rPr>
              <w:t>utting</w:t>
            </w:r>
            <w:r>
              <w:rPr>
                <w:color w:val="000000"/>
                <w:sz w:val="20"/>
              </w:rPr>
              <w:t xml:space="preserve"> (burning)</w:t>
            </w:r>
            <w:r w:rsidRPr="00945554">
              <w:rPr>
                <w:color w:val="000000"/>
                <w:sz w:val="20"/>
              </w:rPr>
              <w:t xml:space="preserve"> polystyrene with specialised </w:t>
            </w:r>
            <w:r>
              <w:rPr>
                <w:color w:val="000000"/>
                <w:sz w:val="20"/>
              </w:rPr>
              <w:t xml:space="preserve">burning or cutting tips (e.g. cut-out </w:t>
            </w:r>
            <w:r w:rsidRPr="00945554">
              <w:rPr>
                <w:color w:val="000000"/>
                <w:sz w:val="20"/>
              </w:rPr>
              <w:t xml:space="preserve">lettering or sculpturing). </w:t>
            </w:r>
          </w:p>
        </w:tc>
        <w:tc>
          <w:tcPr>
            <w:tcW w:w="3569" w:type="dxa"/>
            <w:vAlign w:val="center"/>
          </w:tcPr>
          <w:p w:rsidR="00B040CB" w:rsidRPr="001A22D5" w:rsidRDefault="00B040CB" w:rsidP="003671C9">
            <w:pPr>
              <w:pStyle w:val="BlockText"/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24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A55D00">
              <w:rPr>
                <w:i/>
              </w:rPr>
              <w:t>Plant Risk Assessment</w:t>
            </w:r>
            <w:r w:rsidRPr="001A22D5">
              <w:t>.</w:t>
            </w:r>
          </w:p>
          <w:p w:rsidR="00B040CB" w:rsidRPr="00A55D00" w:rsidRDefault="00B040CB" w:rsidP="00B040CB">
            <w:pPr>
              <w:numPr>
                <w:ilvl w:val="0"/>
                <w:numId w:val="33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A55D00">
              <w:rPr>
                <w:sz w:val="20"/>
              </w:rPr>
              <w:t>Consider obtaining parental permission.</w:t>
            </w:r>
          </w:p>
        </w:tc>
      </w:tr>
    </w:tbl>
    <w:p w:rsidR="000A0025" w:rsidRPr="00692EB0" w:rsidRDefault="000A0025" w:rsidP="003447BD">
      <w:pPr>
        <w:pStyle w:val="BlockText"/>
        <w:spacing w:before="60" w:after="60" w:line="240" w:lineRule="auto"/>
        <w:ind w:right="0"/>
        <w:rPr>
          <w:rFonts w:cs="Arial"/>
          <w:noProof/>
        </w:rPr>
      </w:pPr>
    </w:p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bCs/>
                <w:iCs/>
                <w:color w:val="000080"/>
                <w:sz w:val="20"/>
              </w:rPr>
            </w:r>
            <w:r w:rsidR="00B040CB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bCs/>
                <w:iCs/>
                <w:color w:val="000080"/>
                <w:sz w:val="20"/>
              </w:rPr>
            </w:r>
            <w:r w:rsidR="00B040CB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B3011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3671C9" w:rsidRPr="00A55D00" w:rsidTr="007A6FD2">
        <w:trPr>
          <w:cantSplit/>
          <w:trHeight w:val="691"/>
        </w:trPr>
        <w:tc>
          <w:tcPr>
            <w:tcW w:w="2661" w:type="dxa"/>
            <w:vMerge w:val="restart"/>
          </w:tcPr>
          <w:p w:rsidR="003671C9" w:rsidRDefault="003671C9" w:rsidP="003671C9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3671C9" w:rsidRPr="005E17E1" w:rsidRDefault="003671C9" w:rsidP="003671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3671C9" w:rsidRDefault="003671C9" w:rsidP="003671C9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3671C9" w:rsidRPr="00BD6FAB" w:rsidRDefault="003671C9" w:rsidP="003671C9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</w:tc>
        <w:tc>
          <w:tcPr>
            <w:tcW w:w="3962" w:type="dxa"/>
            <w:tcBorders>
              <w:bottom w:val="nil"/>
            </w:tcBorders>
          </w:tcPr>
          <w:p w:rsidR="003671C9" w:rsidRPr="002A6993" w:rsidRDefault="003671C9" w:rsidP="003671C9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 in work spaces.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damage.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Default="003671C9" w:rsidP="003671C9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2A1D4A">
        <w:trPr>
          <w:cantSplit/>
          <w:trHeight w:val="459"/>
        </w:trPr>
        <w:tc>
          <w:tcPr>
            <w:tcW w:w="2661" w:type="dxa"/>
            <w:vMerge/>
          </w:tcPr>
          <w:p w:rsidR="003671C9" w:rsidRPr="002A6993" w:rsidRDefault="003671C9" w:rsidP="003671C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71C9" w:rsidRPr="00F40031" w:rsidRDefault="003671C9" w:rsidP="003671C9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 hot wire p</w:t>
            </w:r>
            <w:r w:rsidRPr="00F40031">
              <w:rPr>
                <w:rFonts w:cs="Arial"/>
                <w:color w:val="000000"/>
                <w:sz w:val="18"/>
                <w:szCs w:val="18"/>
              </w:rPr>
              <w:t xml:space="preserve">oker is only to be used when the operator is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stationary, i.e. </w:t>
            </w:r>
            <w:r w:rsidRPr="00F40031">
              <w:rPr>
                <w:rFonts w:cs="Arial"/>
                <w:color w:val="000000"/>
                <w:sz w:val="18"/>
                <w:szCs w:val="18"/>
              </w:rPr>
              <w:t xml:space="preserve">sitting or standing at a bench or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dedicated </w:t>
            </w:r>
            <w:r w:rsidRPr="00F40031">
              <w:rPr>
                <w:rFonts w:cs="Arial"/>
                <w:color w:val="000000"/>
                <w:sz w:val="18"/>
                <w:szCs w:val="18"/>
              </w:rPr>
              <w:t>workstation.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71C9" w:rsidRDefault="003671C9" w:rsidP="003671C9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F31232">
        <w:trPr>
          <w:cantSplit/>
          <w:trHeight w:val="459"/>
        </w:trPr>
        <w:tc>
          <w:tcPr>
            <w:tcW w:w="2661" w:type="dxa"/>
            <w:vMerge/>
          </w:tcPr>
          <w:p w:rsidR="003671C9" w:rsidRPr="002A6993" w:rsidRDefault="003671C9" w:rsidP="003671C9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671C9" w:rsidRPr="003671C9" w:rsidRDefault="003671C9" w:rsidP="005D251E">
            <w:pPr>
              <w:numPr>
                <w:ilvl w:val="0"/>
                <w:numId w:val="11"/>
              </w:numPr>
              <w:tabs>
                <w:tab w:val="clear" w:pos="720"/>
                <w:tab w:val="num" w:pos="284"/>
              </w:tabs>
              <w:suppressAutoHyphens/>
              <w:spacing w:before="60" w:after="24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Power leads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extension cables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used only with caution in &amp; around practical work areas where hot wire poker activities are being performed. 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Pr="00A55D00" w:rsidRDefault="003671C9" w:rsidP="003671C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Pr="00A55D00" w:rsidRDefault="003671C9" w:rsidP="003671C9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Default="003671C9" w:rsidP="003671C9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F31232">
        <w:trPr>
          <w:cantSplit/>
          <w:trHeight w:val="770"/>
        </w:trPr>
        <w:tc>
          <w:tcPr>
            <w:tcW w:w="2661" w:type="dxa"/>
            <w:vMerge w:val="restart"/>
          </w:tcPr>
          <w:p w:rsidR="003671C9" w:rsidRPr="002A503A" w:rsidRDefault="003671C9" w:rsidP="003671C9">
            <w:pPr>
              <w:spacing w:before="12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>Environmental:</w:t>
            </w:r>
          </w:p>
          <w:p w:rsidR="003671C9" w:rsidRDefault="003671C9" w:rsidP="003671C9">
            <w:pPr>
              <w:numPr>
                <w:ilvl w:val="0"/>
                <w:numId w:val="17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3671C9" w:rsidRPr="00870CEC" w:rsidRDefault="003671C9" w:rsidP="003671C9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3671C9" w:rsidRPr="002A6993" w:rsidRDefault="003671C9" w:rsidP="003671C9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3671C9" w:rsidRPr="002A6993" w:rsidRDefault="003671C9" w:rsidP="003671C9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3671C9" w:rsidRPr="006A148F" w:rsidRDefault="003671C9" w:rsidP="003671C9">
            <w:pPr>
              <w:spacing w:before="60" w:after="12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671C9" w:rsidRPr="006D497C" w:rsidRDefault="003671C9" w:rsidP="003671C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hot wire poker tool (or pyrograph)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F31232">
        <w:trPr>
          <w:cantSplit/>
          <w:trHeight w:val="545"/>
        </w:trPr>
        <w:tc>
          <w:tcPr>
            <w:tcW w:w="2661" w:type="dxa"/>
            <w:vMerge/>
          </w:tcPr>
          <w:p w:rsidR="003671C9" w:rsidRPr="005E17E1" w:rsidRDefault="003671C9" w:rsidP="003671C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71C9" w:rsidRPr="004A7F5A" w:rsidRDefault="003671C9" w:rsidP="003671C9">
            <w:pPr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</w:t>
            </w:r>
            <w:r>
              <w:rPr>
                <w:rFonts w:cs="Arial"/>
                <w:color w:val="000000"/>
                <w:sz w:val="18"/>
                <w:szCs w:val="18"/>
              </w:rPr>
              <w:t>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F31232">
        <w:trPr>
          <w:cantSplit/>
          <w:trHeight w:val="767"/>
        </w:trPr>
        <w:tc>
          <w:tcPr>
            <w:tcW w:w="2661" w:type="dxa"/>
            <w:vMerge/>
          </w:tcPr>
          <w:p w:rsidR="003671C9" w:rsidRPr="005E17E1" w:rsidRDefault="003671C9" w:rsidP="003671C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71C9" w:rsidRPr="004A7F5A" w:rsidRDefault="003671C9" w:rsidP="003671C9">
            <w:pPr>
              <w:pStyle w:val="ListParagraph"/>
              <w:numPr>
                <w:ilvl w:val="0"/>
                <w:numId w:val="7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che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cked and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>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AE16FF">
        <w:trPr>
          <w:cantSplit/>
          <w:trHeight w:val="779"/>
        </w:trPr>
        <w:tc>
          <w:tcPr>
            <w:tcW w:w="2661" w:type="dxa"/>
            <w:vMerge/>
          </w:tcPr>
          <w:p w:rsidR="003671C9" w:rsidRPr="005E17E1" w:rsidRDefault="003671C9" w:rsidP="003671C9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671C9" w:rsidRPr="00F40031" w:rsidRDefault="003671C9" w:rsidP="003671C9">
            <w:pPr>
              <w:numPr>
                <w:ilvl w:val="0"/>
                <w:numId w:val="7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3671C9" w:rsidRDefault="003671C9" w:rsidP="003671C9">
            <w:pPr>
              <w:tabs>
                <w:tab w:val="left" w:pos="284"/>
              </w:tabs>
              <w:spacing w:before="60" w:after="60"/>
              <w:rPr>
                <w:rFonts w:cs="Arial"/>
                <w:sz w:val="18"/>
                <w:szCs w:val="18"/>
              </w:rPr>
            </w:pPr>
          </w:p>
          <w:p w:rsidR="003671C9" w:rsidRPr="002A6993" w:rsidRDefault="003671C9" w:rsidP="003671C9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3671C9" w:rsidRPr="002568E6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3671C9" w:rsidRPr="00A55D00" w:rsidTr="008F5631">
        <w:trPr>
          <w:cantSplit/>
          <w:trHeight w:val="639"/>
        </w:trPr>
        <w:tc>
          <w:tcPr>
            <w:tcW w:w="2661" w:type="dxa"/>
            <w:vMerge w:val="restart"/>
          </w:tcPr>
          <w:p w:rsidR="003671C9" w:rsidRPr="002A6993" w:rsidRDefault="003671C9" w:rsidP="003671C9">
            <w:pPr>
              <w:spacing w:before="12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3671C9" w:rsidRDefault="003671C9" w:rsidP="003671C9">
            <w:pPr>
              <w:pStyle w:val="BodyText"/>
              <w:keepNext/>
              <w:keepLines/>
              <w:spacing w:before="12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3671C9" w:rsidRPr="005E17E1" w:rsidRDefault="003671C9" w:rsidP="003671C9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671C9" w:rsidRDefault="003671C9" w:rsidP="003671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Visual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hot wire poker tools, their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electrical switches</w:t>
            </w:r>
            <w:r>
              <w:rPr>
                <w:rFonts w:cs="Arial"/>
                <w:color w:val="000000"/>
                <w:sz w:val="18"/>
                <w:szCs w:val="18"/>
              </w:rPr>
              <w:t>, plugs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 power leads</w:t>
            </w:r>
            <w:r>
              <w:rPr>
                <w:rFonts w:cs="Arial"/>
                <w:color w:val="000000"/>
                <w:sz w:val="18"/>
                <w:szCs w:val="18"/>
              </w:rPr>
              <w:t>, etc.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3671C9" w:rsidRDefault="003671C9" w:rsidP="003671C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71C9" w:rsidRDefault="003671C9" w:rsidP="003671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Visual checks are made to ensure all leads are clear of the hot tip before, during and after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3671C9" w:rsidRDefault="003671C9" w:rsidP="003671C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71C9" w:rsidRDefault="003671C9" w:rsidP="003671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tagging, etc. are completed regularly as per guidelines for all portable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3671C9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3671C9" w:rsidRDefault="003671C9" w:rsidP="003671C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671C9" w:rsidRPr="00F40031" w:rsidRDefault="003671C9" w:rsidP="003671C9">
            <w:pPr>
              <w:numPr>
                <w:ilvl w:val="0"/>
                <w:numId w:val="12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Portable power tools are to be used only where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 xml:space="preserve"> there is a RCD safety trip </w:t>
            </w:r>
            <w:r w:rsidRPr="00F40031">
              <w:rPr>
                <w:rFonts w:cs="Arial"/>
                <w:bCs/>
                <w:iCs/>
                <w:color w:val="000000"/>
                <w:sz w:val="18"/>
                <w:szCs w:val="18"/>
              </w:rPr>
              <w:t>switch connected</w:t>
            </w:r>
            <w:r>
              <w:rPr>
                <w:rFonts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671C9" w:rsidRPr="00A55D00" w:rsidRDefault="003671C9" w:rsidP="003671C9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671C9" w:rsidRPr="00A55D00" w:rsidTr="008F5631">
        <w:trPr>
          <w:cantSplit/>
          <w:trHeight w:val="635"/>
        </w:trPr>
        <w:tc>
          <w:tcPr>
            <w:tcW w:w="2661" w:type="dxa"/>
            <w:vMerge/>
          </w:tcPr>
          <w:p w:rsidR="003671C9" w:rsidRDefault="003671C9" w:rsidP="003671C9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671C9" w:rsidRDefault="003671C9" w:rsidP="003671C9">
            <w:pPr>
              <w:numPr>
                <w:ilvl w:val="0"/>
                <w:numId w:val="1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hot wire poker tools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  <w:p w:rsidR="003671C9" w:rsidRDefault="003671C9" w:rsidP="003671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  <w:lang w:eastAsia="en-US"/>
              </w:rPr>
            </w:pPr>
          </w:p>
          <w:p w:rsidR="003671C9" w:rsidRDefault="003671C9" w:rsidP="003671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rPr>
                <w:rFonts w:cs="Arial"/>
                <w:sz w:val="18"/>
                <w:szCs w:val="18"/>
              </w:rPr>
            </w:pPr>
          </w:p>
          <w:p w:rsidR="003671C9" w:rsidRDefault="003671C9" w:rsidP="003671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/>
              <w:rPr>
                <w:rFonts w:cs="Arial"/>
                <w:sz w:val="6"/>
                <w:szCs w:val="6"/>
                <w:lang w:eastAsia="en-US"/>
              </w:rPr>
            </w:pPr>
          </w:p>
          <w:p w:rsidR="003671C9" w:rsidRPr="005C785F" w:rsidRDefault="003671C9" w:rsidP="003671C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/>
              <w:rPr>
                <w:rFonts w:cs="Arial"/>
                <w:sz w:val="6"/>
                <w:szCs w:val="6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Pr="00A55D00" w:rsidRDefault="003671C9" w:rsidP="003671C9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Pr="00A55D00" w:rsidRDefault="003671C9" w:rsidP="003671C9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71C9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3671C9" w:rsidRPr="002568E6" w:rsidRDefault="003671C9" w:rsidP="003671C9">
            <w:pPr>
              <w:snapToGrid w:val="0"/>
              <w:spacing w:before="12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EC2101" w:rsidRPr="00A55D00" w:rsidTr="008F5631">
        <w:trPr>
          <w:cantSplit/>
          <w:trHeight w:val="189"/>
        </w:trPr>
        <w:tc>
          <w:tcPr>
            <w:tcW w:w="2661" w:type="dxa"/>
            <w:vMerge w:val="restart"/>
          </w:tcPr>
          <w:p w:rsidR="00EC2101" w:rsidRPr="005E17E1" w:rsidRDefault="00EC2101" w:rsidP="00EC2101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EC2101" w:rsidRPr="00256A8E" w:rsidRDefault="00EC2101" w:rsidP="00EC2101">
            <w:pPr>
              <w:numPr>
                <w:ilvl w:val="0"/>
                <w:numId w:val="42"/>
              </w:numPr>
              <w:tabs>
                <w:tab w:val="left" w:pos="227"/>
              </w:tabs>
              <w:spacing w:before="240"/>
              <w:ind w:left="340" w:hanging="340"/>
              <w:rPr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Heat</w:t>
            </w:r>
            <w:r>
              <w:rPr>
                <w:b/>
                <w:sz w:val="20"/>
              </w:rPr>
              <w:t xml:space="preserve">, Burns </w:t>
            </w:r>
            <w:r>
              <w:rPr>
                <w:b/>
                <w:sz w:val="20"/>
              </w:rPr>
              <w:t>and</w:t>
            </w:r>
            <w:r>
              <w:rPr>
                <w:sz w:val="18"/>
                <w:szCs w:val="18"/>
              </w:rPr>
              <w:t xml:space="preserve"> </w:t>
            </w:r>
            <w:r w:rsidRPr="00256A8E">
              <w:rPr>
                <w:b/>
                <w:sz w:val="20"/>
              </w:rPr>
              <w:t>Scalds</w:t>
            </w:r>
          </w:p>
          <w:p w:rsidR="00EC2101" w:rsidRPr="002C43BD" w:rsidRDefault="00EC2101" w:rsidP="00EC210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the</w:t>
            </w:r>
            <w:r w:rsidRPr="002C43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plant </w:t>
            </w:r>
            <w:r w:rsidRPr="002C43BD">
              <w:rPr>
                <w:sz w:val="18"/>
                <w:szCs w:val="18"/>
              </w:rPr>
              <w:t xml:space="preserve">operator </w:t>
            </w:r>
            <w:r>
              <w:rPr>
                <w:sz w:val="18"/>
                <w:szCs w:val="18"/>
              </w:rPr>
              <w:t>be exposed to a heating element, exposed flame, flashback, molten metals or hot fluids likely to cause scalding or burning?</w:t>
            </w:r>
          </w:p>
          <w:p w:rsidR="00EC2101" w:rsidRDefault="00EC2101" w:rsidP="00EC2101">
            <w:pPr>
              <w:numPr>
                <w:ilvl w:val="0"/>
                <w:numId w:val="45"/>
              </w:numPr>
              <w:tabs>
                <w:tab w:val="clear" w:pos="36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>
              <w:rPr>
                <w:b/>
                <w:sz w:val="20"/>
              </w:rPr>
              <w:t>Hazardous</w:t>
            </w:r>
          </w:p>
          <w:p w:rsidR="00EC2101" w:rsidRDefault="00EC2101" w:rsidP="00EC2101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5D251E" w:rsidRDefault="005D251E" w:rsidP="005D251E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volatile vapours, fumes or airborne particulates?</w:t>
            </w:r>
          </w:p>
          <w:p w:rsidR="00EC2101" w:rsidRPr="002568E6" w:rsidRDefault="00EC2101" w:rsidP="00EC2101">
            <w:pPr>
              <w:spacing w:before="6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C2101" w:rsidRPr="002A6993" w:rsidRDefault="00EC2101" w:rsidP="00EC2101">
            <w:pPr>
              <w:numPr>
                <w:ilvl w:val="0"/>
                <w:numId w:val="10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hot wire poker tools (or pyrographs)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101" w:rsidRDefault="00EC2101" w:rsidP="00EC210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C2101" w:rsidRPr="00A55D00" w:rsidTr="008F5631">
        <w:trPr>
          <w:cantSplit/>
          <w:trHeight w:val="446"/>
        </w:trPr>
        <w:tc>
          <w:tcPr>
            <w:tcW w:w="2661" w:type="dxa"/>
            <w:vMerge/>
          </w:tcPr>
          <w:p w:rsidR="00EC2101" w:rsidRPr="005E17E1" w:rsidRDefault="00EC2101" w:rsidP="00EC210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C2101" w:rsidRPr="002A6993" w:rsidRDefault="00EC2101" w:rsidP="00EC2101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potentially hazardous waste material or toxic fumes resulting from this burning process are monitored and managed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C2101" w:rsidRPr="00500084" w:rsidRDefault="00EC2101" w:rsidP="00EC2101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C2101" w:rsidRPr="00A55D00" w:rsidTr="00CA2D1A">
        <w:trPr>
          <w:cantSplit/>
          <w:trHeight w:val="186"/>
        </w:trPr>
        <w:tc>
          <w:tcPr>
            <w:tcW w:w="2661" w:type="dxa"/>
            <w:vMerge/>
          </w:tcPr>
          <w:p w:rsidR="00EC2101" w:rsidRPr="005E17E1" w:rsidRDefault="00EC2101" w:rsidP="00EC210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C2101" w:rsidRDefault="00EC2101" w:rsidP="00EC2101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C2101" w:rsidRPr="00500084" w:rsidRDefault="00EC2101" w:rsidP="00EC2101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C2101" w:rsidRPr="00A55D00" w:rsidTr="00CA2D1A">
        <w:trPr>
          <w:cantSplit/>
          <w:trHeight w:val="1127"/>
        </w:trPr>
        <w:tc>
          <w:tcPr>
            <w:tcW w:w="2661" w:type="dxa"/>
            <w:vMerge/>
          </w:tcPr>
          <w:p w:rsidR="00EC2101" w:rsidRPr="005E17E1" w:rsidRDefault="00EC2101" w:rsidP="00EC2101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EC2101" w:rsidRPr="002A6993" w:rsidRDefault="00EC2101" w:rsidP="00EC2101">
            <w:pPr>
              <w:numPr>
                <w:ilvl w:val="0"/>
                <w:numId w:val="10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01" w:rsidRPr="00500084" w:rsidRDefault="00EC2101" w:rsidP="00EC2101">
            <w:pPr>
              <w:spacing w:before="24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EC2101" w:rsidRPr="00A55D00" w:rsidTr="008F5631">
        <w:trPr>
          <w:cantSplit/>
          <w:trHeight w:val="824"/>
        </w:trPr>
        <w:tc>
          <w:tcPr>
            <w:tcW w:w="2661" w:type="dxa"/>
            <w:vMerge w:val="restart"/>
          </w:tcPr>
          <w:p w:rsidR="00EC2101" w:rsidRPr="005E17E1" w:rsidRDefault="00EC2101" w:rsidP="00EC2101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EC2101" w:rsidRPr="005E17E1" w:rsidRDefault="00EC2101" w:rsidP="00EC2101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EC2101" w:rsidRDefault="00EC2101" w:rsidP="00EC2101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EC2101" w:rsidRDefault="00EC2101" w:rsidP="00EC2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EC2101" w:rsidRDefault="00EC2101" w:rsidP="00EC2101">
            <w:pPr>
              <w:rPr>
                <w:sz w:val="18"/>
                <w:szCs w:val="18"/>
              </w:rPr>
            </w:pPr>
          </w:p>
          <w:p w:rsidR="00EC2101" w:rsidRPr="00BD6FAB" w:rsidRDefault="00EC2101" w:rsidP="00EC2101">
            <w:pPr>
              <w:rPr>
                <w:b/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EC2101" w:rsidRPr="002A6993" w:rsidRDefault="00EC2101" w:rsidP="00EC210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minimizing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C2101" w:rsidRDefault="00EC2101" w:rsidP="00EC2101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C2101" w:rsidRPr="00A55D00" w:rsidTr="002A1D4A">
        <w:trPr>
          <w:cantSplit/>
          <w:trHeight w:val="436"/>
        </w:trPr>
        <w:tc>
          <w:tcPr>
            <w:tcW w:w="2661" w:type="dxa"/>
            <w:vMerge/>
          </w:tcPr>
          <w:p w:rsidR="00EC2101" w:rsidRDefault="00EC2101" w:rsidP="00EC210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EC2101" w:rsidRPr="002A6993" w:rsidRDefault="00EC2101" w:rsidP="00EC210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EC2101" w:rsidRPr="00A55D00" w:rsidRDefault="00EC2101" w:rsidP="00EC210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EC2101" w:rsidRDefault="00EC2101" w:rsidP="00EC210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EC2101" w:rsidRPr="00A55D00" w:rsidTr="00253231">
        <w:trPr>
          <w:cantSplit/>
          <w:trHeight w:val="796"/>
        </w:trPr>
        <w:tc>
          <w:tcPr>
            <w:tcW w:w="2661" w:type="dxa"/>
            <w:vMerge/>
          </w:tcPr>
          <w:p w:rsidR="00EC2101" w:rsidRDefault="00EC2101" w:rsidP="00EC210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EC2101" w:rsidRPr="002A6993" w:rsidRDefault="00EC2101" w:rsidP="00EC2101">
            <w:pPr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01" w:rsidRPr="00A55D00" w:rsidRDefault="00EC2101" w:rsidP="00EC210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01" w:rsidRPr="00A55D00" w:rsidRDefault="00EC2101" w:rsidP="00EC210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2101" w:rsidRDefault="00EC2101" w:rsidP="00EC2101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 w:val="restart"/>
          </w:tcPr>
          <w:p w:rsidR="00253231" w:rsidRPr="002A6993" w:rsidRDefault="00253231" w:rsidP="00253231">
            <w:pPr>
              <w:spacing w:before="240" w:after="6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t xml:space="preserve">Explosion </w:t>
            </w:r>
            <w:r>
              <w:rPr>
                <w:b/>
                <w:sz w:val="22"/>
                <w:szCs w:val="22"/>
              </w:rPr>
              <w:t>and</w:t>
            </w:r>
            <w:r w:rsidRPr="005E17E1">
              <w:rPr>
                <w:b/>
                <w:sz w:val="22"/>
                <w:szCs w:val="22"/>
              </w:rPr>
              <w:t xml:space="preserve"> Fire:</w:t>
            </w:r>
          </w:p>
          <w:p w:rsidR="00253231" w:rsidRDefault="00253231" w:rsidP="00253231">
            <w:pPr>
              <w:spacing w:before="24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 a consequence of using this particular item of plant and equipment, could</w:t>
            </w:r>
            <w:r w:rsidRPr="002A6993">
              <w:rPr>
                <w:rFonts w:cs="Arial"/>
                <w:sz w:val="18"/>
                <w:szCs w:val="18"/>
              </w:rPr>
              <w:t xml:space="preserve"> a</w:t>
            </w:r>
            <w:r>
              <w:rPr>
                <w:rFonts w:cs="Arial"/>
                <w:sz w:val="18"/>
                <w:szCs w:val="18"/>
              </w:rPr>
              <w:t xml:space="preserve">nyone be injured by the release </w:t>
            </w:r>
            <w:r w:rsidRPr="002A6993">
              <w:rPr>
                <w:rFonts w:cs="Arial"/>
                <w:sz w:val="18"/>
                <w:szCs w:val="18"/>
              </w:rPr>
              <w:t>of stored energy</w:t>
            </w:r>
            <w:r>
              <w:rPr>
                <w:rFonts w:cs="Arial"/>
                <w:sz w:val="18"/>
                <w:szCs w:val="18"/>
              </w:rPr>
              <w:t xml:space="preserve"> triggered by volatile, explosive substances such as stored</w:t>
            </w:r>
            <w:r w:rsidRPr="002A6993">
              <w:rPr>
                <w:rFonts w:cs="Arial"/>
                <w:sz w:val="18"/>
                <w:szCs w:val="18"/>
              </w:rPr>
              <w:t xml:space="preserve"> gas</w:t>
            </w:r>
            <w:r>
              <w:rPr>
                <w:rFonts w:cs="Arial"/>
                <w:sz w:val="18"/>
                <w:szCs w:val="18"/>
              </w:rPr>
              <w:t>ses, vapours or liquids</w:t>
            </w:r>
            <w:r w:rsidRPr="002A6993">
              <w:rPr>
                <w:rFonts w:cs="Arial"/>
                <w:sz w:val="18"/>
                <w:szCs w:val="18"/>
              </w:rPr>
              <w:t xml:space="preserve">?  </w:t>
            </w:r>
          </w:p>
          <w:p w:rsidR="00253231" w:rsidRPr="00033942" w:rsidRDefault="00253231" w:rsidP="00253231">
            <w:pPr>
              <w:spacing w:before="12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253231" w:rsidRPr="002A6993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Fire extinguishers of the correct type are readily available in all workspaces and positioned near exit doorways.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53231" w:rsidRDefault="00253231" w:rsidP="00253231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regarding procedures for the correct and appropriate use of fire safety equipment.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6D497C">
              <w:rPr>
                <w:rFonts w:cs="Arial"/>
                <w:sz w:val="18"/>
                <w:szCs w:val="18"/>
              </w:rPr>
              <w:t xml:space="preserve">xits from buildings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other work areas</w:t>
            </w:r>
            <w:r>
              <w:rPr>
                <w:rFonts w:cs="Arial"/>
                <w:sz w:val="18"/>
                <w:szCs w:val="18"/>
              </w:rPr>
              <w:t xml:space="preserve"> are defined</w:t>
            </w:r>
            <w:r w:rsidRPr="006D497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and</w:t>
            </w:r>
            <w:r w:rsidRPr="006D497C">
              <w:rPr>
                <w:rFonts w:cs="Arial"/>
                <w:sz w:val="18"/>
                <w:szCs w:val="18"/>
              </w:rPr>
              <w:t xml:space="preserve"> access to them kept clear of obstructions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253231" w:rsidRPr="00A55D00" w:rsidTr="00253231">
        <w:trPr>
          <w:cantSplit/>
          <w:trHeight w:val="180"/>
        </w:trPr>
        <w:tc>
          <w:tcPr>
            <w:tcW w:w="2661" w:type="dxa"/>
            <w:vMerge/>
          </w:tcPr>
          <w:p w:rsidR="00253231" w:rsidRDefault="00253231" w:rsidP="00253231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253231" w:rsidRDefault="00253231" w:rsidP="00253231">
            <w:pPr>
              <w:numPr>
                <w:ilvl w:val="0"/>
                <w:numId w:val="9"/>
              </w:numPr>
              <w:tabs>
                <w:tab w:val="clear" w:pos="720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Safety signage is posted clearly denoting the location of all fire safety items and emergency exits.</w:t>
            </w:r>
          </w:p>
          <w:p w:rsidR="00253231" w:rsidRPr="00253231" w:rsidRDefault="00253231" w:rsidP="00253231">
            <w:pPr>
              <w:spacing w:before="60" w:after="60"/>
              <w:ind w:left="284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A55D00" w:rsidRDefault="00253231" w:rsidP="00253231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231" w:rsidRPr="00500084" w:rsidRDefault="00253231" w:rsidP="00253231">
            <w:pPr>
              <w:spacing w:before="120" w:after="60"/>
              <w:rPr>
                <w:rFonts w:cs="Arial"/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:rsidR="009318AA" w:rsidRDefault="009318AA" w:rsidP="0041522B">
      <w:pPr>
        <w:rPr>
          <w:noProof/>
          <w:szCs w:val="24"/>
        </w:rPr>
      </w:pPr>
    </w:p>
    <w:p w:rsidR="00FA6678" w:rsidRPr="001E7147" w:rsidRDefault="00FA6678" w:rsidP="0041522B">
      <w:pPr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8F3013" w:rsidRPr="00A55D00" w:rsidTr="003D1ACA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8F3013" w:rsidRPr="00A55D00" w:rsidRDefault="008F3013" w:rsidP="005C2C70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8F3013" w:rsidRPr="00A55D00" w:rsidRDefault="008F3013" w:rsidP="005C2C70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8F3013" w:rsidRPr="00087494" w:rsidRDefault="008F3013" w:rsidP="005C2C70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8F3013" w:rsidRPr="00A55D00" w:rsidTr="003D1ACA">
        <w:trPr>
          <w:trHeight w:val="2699"/>
        </w:trPr>
        <w:tc>
          <w:tcPr>
            <w:tcW w:w="2689" w:type="dxa"/>
            <w:shd w:val="clear" w:color="auto" w:fill="auto"/>
          </w:tcPr>
          <w:p w:rsidR="008F3013" w:rsidRDefault="007034DD" w:rsidP="005C2C70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Default="00D30FA1" w:rsidP="00D30FA1"/>
          <w:p w:rsidR="00D30FA1" w:rsidRPr="00D30FA1" w:rsidRDefault="00D30FA1" w:rsidP="00D30FA1"/>
        </w:tc>
        <w:tc>
          <w:tcPr>
            <w:tcW w:w="7505" w:type="dxa"/>
            <w:shd w:val="clear" w:color="auto" w:fill="auto"/>
          </w:tcPr>
          <w:p w:rsidR="008F3013" w:rsidRPr="00A55D00" w:rsidRDefault="007034DD" w:rsidP="005C2C70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Pr="00047F53" w:rsidRDefault="008F3013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B040CB">
              <w:rPr>
                <w:rFonts w:cs="Arial"/>
                <w:b/>
                <w:color w:val="000080"/>
                <w:sz w:val="22"/>
              </w:rPr>
            </w:r>
            <w:r w:rsidR="00B040CB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B040CB">
              <w:rPr>
                <w:rFonts w:cs="Arial"/>
                <w:b/>
                <w:color w:val="000080"/>
                <w:sz w:val="22"/>
              </w:rPr>
            </w:r>
            <w:r w:rsidR="00B040CB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B040CB">
              <w:rPr>
                <w:rFonts w:cs="Arial"/>
                <w:b/>
                <w:color w:val="000080"/>
                <w:sz w:val="22"/>
              </w:rPr>
            </w:r>
            <w:r w:rsidR="00B040CB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2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2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5C2C70">
        <w:tc>
          <w:tcPr>
            <w:tcW w:w="103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>ITD staff members involved in the use of this risk assessment &amp; the associated plant &amp; equipment:</w:t>
            </w:r>
          </w:p>
        </w:tc>
      </w:tr>
      <w:tr w:rsidR="008F3013" w:rsidRPr="005F30C5" w:rsidTr="005C2C70">
        <w:trPr>
          <w:trHeight w:val="4297"/>
        </w:trPr>
        <w:tc>
          <w:tcPr>
            <w:tcW w:w="4968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AB5BA5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7034DD">
            <w:pPr>
              <w:numPr>
                <w:ilvl w:val="0"/>
                <w:numId w:val="29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8F3013" w:rsidRPr="005F30C5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  <w:lang w:val="fr-FR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lang w:val="fr-FR"/>
        </w:rPr>
      </w:pP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  <w:bookmarkStart w:id="3" w:name="_GoBack"/>
        <w:bookmarkEnd w:id="3"/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7329A2">
            <w:pPr>
              <w:numPr>
                <w:ilvl w:val="0"/>
                <w:numId w:val="23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</w:r>
            <w:r w:rsidR="00B040CB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1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0CB" w:rsidRDefault="00B040CB">
      <w:r>
        <w:separator/>
      </w:r>
    </w:p>
  </w:endnote>
  <w:endnote w:type="continuationSeparator" w:id="0">
    <w:p w:rsidR="00B040CB" w:rsidRDefault="00B0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CB" w:rsidRPr="00441959" w:rsidRDefault="00B040CB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0CB" w:rsidRPr="005246DF" w:rsidRDefault="00B040CB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B040CB" w:rsidRDefault="00B040CB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B040CB" w:rsidRPr="005246DF" w:rsidRDefault="00B040CB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E32CD4">
                            <w:rPr>
                              <w:b/>
                              <w:bCs/>
                              <w:noProof/>
                              <w:sz w:val="14"/>
                            </w:rPr>
                            <w:t>6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 w:rsidR="00EC2101">
                            <w:rPr>
                              <w:sz w:val="14"/>
                            </w:rPr>
                            <w:t>6</w:t>
                          </w:r>
                        </w:p>
                        <w:p w:rsidR="00B040CB" w:rsidRPr="00F06006" w:rsidRDefault="00B040CB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B040CB" w:rsidRPr="005246DF" w:rsidRDefault="00B040CB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B040CB" w:rsidRDefault="00B040CB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B040CB" w:rsidRPr="005246DF" w:rsidRDefault="00B040CB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E32CD4">
                      <w:rPr>
                        <w:b/>
                        <w:bCs/>
                        <w:noProof/>
                        <w:sz w:val="14"/>
                      </w:rPr>
                      <w:t>6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 w:rsidR="00EC2101">
                      <w:rPr>
                        <w:sz w:val="14"/>
                      </w:rPr>
                      <w:t>6</w:t>
                    </w:r>
                  </w:p>
                  <w:p w:rsidR="00B040CB" w:rsidRPr="00F06006" w:rsidRDefault="00B040CB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0CB" w:rsidRPr="00D65DEB" w:rsidRDefault="00B040CB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B040CB" w:rsidRPr="00D65DEB" w:rsidRDefault="00B040CB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0CB" w:rsidRDefault="00B040CB">
      <w:r>
        <w:separator/>
      </w:r>
    </w:p>
  </w:footnote>
  <w:footnote w:type="continuationSeparator" w:id="0">
    <w:p w:rsidR="00B040CB" w:rsidRDefault="00B04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045"/>
    <w:multiLevelType w:val="hybridMultilevel"/>
    <w:tmpl w:val="1BCCC74E"/>
    <w:lvl w:ilvl="0" w:tplc="D4BA59F8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2F2B"/>
    <w:multiLevelType w:val="hybridMultilevel"/>
    <w:tmpl w:val="D264FC92"/>
    <w:lvl w:ilvl="0" w:tplc="312A6DC6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823B5"/>
    <w:multiLevelType w:val="hybridMultilevel"/>
    <w:tmpl w:val="1A9AEB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8C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2806"/>
    <w:multiLevelType w:val="hybridMultilevel"/>
    <w:tmpl w:val="32C04BC8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01C161E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16C6E22"/>
    <w:multiLevelType w:val="hybridMultilevel"/>
    <w:tmpl w:val="A5E4AF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2C3F"/>
    <w:multiLevelType w:val="hybridMultilevel"/>
    <w:tmpl w:val="675833F8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E0CAF"/>
    <w:multiLevelType w:val="hybridMultilevel"/>
    <w:tmpl w:val="AB7C29D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C0EA0"/>
    <w:multiLevelType w:val="hybridMultilevel"/>
    <w:tmpl w:val="902EB5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25F97"/>
    <w:multiLevelType w:val="hybridMultilevel"/>
    <w:tmpl w:val="E3ACDE5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A604F"/>
    <w:multiLevelType w:val="hybridMultilevel"/>
    <w:tmpl w:val="26E459C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C02FE"/>
    <w:multiLevelType w:val="hybridMultilevel"/>
    <w:tmpl w:val="EF82FE2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C62A0"/>
    <w:multiLevelType w:val="hybridMultilevel"/>
    <w:tmpl w:val="9A1231AC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D6D06"/>
    <w:multiLevelType w:val="hybridMultilevel"/>
    <w:tmpl w:val="8144861A"/>
    <w:lvl w:ilvl="0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A0D1A">
      <w:start w:val="1"/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633F5"/>
    <w:multiLevelType w:val="hybridMultilevel"/>
    <w:tmpl w:val="01EE3FB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B38F4"/>
    <w:multiLevelType w:val="hybridMultilevel"/>
    <w:tmpl w:val="4B9AC536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2793C"/>
    <w:multiLevelType w:val="hybridMultilevel"/>
    <w:tmpl w:val="7F66D35A"/>
    <w:lvl w:ilvl="0" w:tplc="0EE48BA2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0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1B57C1"/>
    <w:multiLevelType w:val="hybridMultilevel"/>
    <w:tmpl w:val="33849CE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B91803"/>
    <w:multiLevelType w:val="hybridMultilevel"/>
    <w:tmpl w:val="1F9C0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32C46"/>
    <w:multiLevelType w:val="hybridMultilevel"/>
    <w:tmpl w:val="2598A81C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258A0"/>
    <w:multiLevelType w:val="hybridMultilevel"/>
    <w:tmpl w:val="7B6E98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41D05"/>
    <w:multiLevelType w:val="hybridMultilevel"/>
    <w:tmpl w:val="AA6C6B06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7" w15:restartNumberingAfterBreak="0">
    <w:nsid w:val="5F1606E2"/>
    <w:multiLevelType w:val="hybridMultilevel"/>
    <w:tmpl w:val="F0684D2E"/>
    <w:lvl w:ilvl="0" w:tplc="0C090001">
      <w:start w:val="1"/>
      <w:numFmt w:val="bullet"/>
      <w:lvlText w:val=""/>
      <w:lvlJc w:val="left"/>
      <w:pPr>
        <w:tabs>
          <w:tab w:val="num" w:pos="414"/>
        </w:tabs>
        <w:ind w:left="4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38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8472F0"/>
    <w:multiLevelType w:val="hybridMultilevel"/>
    <w:tmpl w:val="4856A0DE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3A106C"/>
    <w:multiLevelType w:val="hybridMultilevel"/>
    <w:tmpl w:val="7772CD48"/>
    <w:lvl w:ilvl="0" w:tplc="077A0D1A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7376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64873"/>
    <w:multiLevelType w:val="hybridMultilevel"/>
    <w:tmpl w:val="3714412A"/>
    <w:lvl w:ilvl="0" w:tplc="0C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5" w15:restartNumberingAfterBreak="0">
    <w:nsid w:val="72EC1D7F"/>
    <w:multiLevelType w:val="hybridMultilevel"/>
    <w:tmpl w:val="990846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41"/>
  </w:num>
  <w:num w:numId="5">
    <w:abstractNumId w:val="19"/>
  </w:num>
  <w:num w:numId="6">
    <w:abstractNumId w:val="1"/>
  </w:num>
  <w:num w:numId="7">
    <w:abstractNumId w:val="32"/>
  </w:num>
  <w:num w:numId="8">
    <w:abstractNumId w:val="29"/>
  </w:num>
  <w:num w:numId="9">
    <w:abstractNumId w:val="43"/>
  </w:num>
  <w:num w:numId="10">
    <w:abstractNumId w:val="3"/>
  </w:num>
  <w:num w:numId="11">
    <w:abstractNumId w:val="23"/>
  </w:num>
  <w:num w:numId="12">
    <w:abstractNumId w:val="31"/>
  </w:num>
  <w:num w:numId="13">
    <w:abstractNumId w:val="47"/>
  </w:num>
  <w:num w:numId="14">
    <w:abstractNumId w:val="14"/>
  </w:num>
  <w:num w:numId="15">
    <w:abstractNumId w:val="26"/>
  </w:num>
  <w:num w:numId="16">
    <w:abstractNumId w:val="17"/>
  </w:num>
  <w:num w:numId="17">
    <w:abstractNumId w:val="46"/>
  </w:num>
  <w:num w:numId="18">
    <w:abstractNumId w:val="38"/>
  </w:num>
  <w:num w:numId="19">
    <w:abstractNumId w:val="25"/>
  </w:num>
  <w:num w:numId="20">
    <w:abstractNumId w:val="4"/>
  </w:num>
  <w:num w:numId="21">
    <w:abstractNumId w:val="16"/>
  </w:num>
  <w:num w:numId="22">
    <w:abstractNumId w:val="28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2"/>
  </w:num>
  <w:num w:numId="26">
    <w:abstractNumId w:val="27"/>
  </w:num>
  <w:num w:numId="27">
    <w:abstractNumId w:val="0"/>
  </w:num>
  <w:num w:numId="28">
    <w:abstractNumId w:val="33"/>
  </w:num>
  <w:num w:numId="29">
    <w:abstractNumId w:val="18"/>
  </w:num>
  <w:num w:numId="30">
    <w:abstractNumId w:val="30"/>
  </w:num>
  <w:num w:numId="31">
    <w:abstractNumId w:val="15"/>
  </w:num>
  <w:num w:numId="32">
    <w:abstractNumId w:val="10"/>
  </w:num>
  <w:num w:numId="33">
    <w:abstractNumId w:val="40"/>
  </w:num>
  <w:num w:numId="34">
    <w:abstractNumId w:val="2"/>
  </w:num>
  <w:num w:numId="35">
    <w:abstractNumId w:val="13"/>
  </w:num>
  <w:num w:numId="36">
    <w:abstractNumId w:val="34"/>
  </w:num>
  <w:num w:numId="37">
    <w:abstractNumId w:val="45"/>
  </w:num>
  <w:num w:numId="38">
    <w:abstractNumId w:val="7"/>
  </w:num>
  <w:num w:numId="39">
    <w:abstractNumId w:val="21"/>
  </w:num>
  <w:num w:numId="40">
    <w:abstractNumId w:val="6"/>
  </w:num>
  <w:num w:numId="41">
    <w:abstractNumId w:val="42"/>
  </w:num>
  <w:num w:numId="42">
    <w:abstractNumId w:val="35"/>
  </w:num>
  <w:num w:numId="43">
    <w:abstractNumId w:val="39"/>
  </w:num>
  <w:num w:numId="44">
    <w:abstractNumId w:val="44"/>
  </w:num>
  <w:num w:numId="45">
    <w:abstractNumId w:val="22"/>
  </w:num>
  <w:num w:numId="46">
    <w:abstractNumId w:val="9"/>
  </w:num>
  <w:num w:numId="47">
    <w:abstractNumId w:val="36"/>
  </w:num>
  <w:num w:numId="48">
    <w:abstractNumId w:val="5"/>
  </w:num>
  <w:num w:numId="49">
    <w:abstractNumId w:va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80B"/>
    <w:rsid w:val="00033942"/>
    <w:rsid w:val="00033E91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3A13"/>
    <w:rsid w:val="000765A6"/>
    <w:rsid w:val="000805D2"/>
    <w:rsid w:val="0008112A"/>
    <w:rsid w:val="00082213"/>
    <w:rsid w:val="000827E2"/>
    <w:rsid w:val="000828F9"/>
    <w:rsid w:val="00084BA5"/>
    <w:rsid w:val="000872F5"/>
    <w:rsid w:val="00087494"/>
    <w:rsid w:val="00087FA2"/>
    <w:rsid w:val="00091CA9"/>
    <w:rsid w:val="0009640E"/>
    <w:rsid w:val="00096BD9"/>
    <w:rsid w:val="00097338"/>
    <w:rsid w:val="000A0025"/>
    <w:rsid w:val="000A16DB"/>
    <w:rsid w:val="000A3E85"/>
    <w:rsid w:val="000B053C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A4"/>
    <w:rsid w:val="000E28A3"/>
    <w:rsid w:val="000E3140"/>
    <w:rsid w:val="000E6DA0"/>
    <w:rsid w:val="000E7FB3"/>
    <w:rsid w:val="000F117C"/>
    <w:rsid w:val="000F2E2D"/>
    <w:rsid w:val="001004F8"/>
    <w:rsid w:val="00101AA0"/>
    <w:rsid w:val="00103F53"/>
    <w:rsid w:val="001047B1"/>
    <w:rsid w:val="00106FCB"/>
    <w:rsid w:val="00111FF8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6049E"/>
    <w:rsid w:val="00160CA1"/>
    <w:rsid w:val="00160FAB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20D7"/>
    <w:rsid w:val="001B22BD"/>
    <w:rsid w:val="001B32BA"/>
    <w:rsid w:val="001B3828"/>
    <w:rsid w:val="001B6766"/>
    <w:rsid w:val="001C375C"/>
    <w:rsid w:val="001C3786"/>
    <w:rsid w:val="001C481F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2D4B"/>
    <w:rsid w:val="001F3DD4"/>
    <w:rsid w:val="0020153E"/>
    <w:rsid w:val="00201FA4"/>
    <w:rsid w:val="0020382A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70FD"/>
    <w:rsid w:val="002D0B0F"/>
    <w:rsid w:val="002D0B4F"/>
    <w:rsid w:val="002D2BDC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0130"/>
    <w:rsid w:val="0030298A"/>
    <w:rsid w:val="003036BB"/>
    <w:rsid w:val="003039EF"/>
    <w:rsid w:val="00303E70"/>
    <w:rsid w:val="0030684D"/>
    <w:rsid w:val="00312DF9"/>
    <w:rsid w:val="00317559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60683"/>
    <w:rsid w:val="00360799"/>
    <w:rsid w:val="00361D64"/>
    <w:rsid w:val="00364CF7"/>
    <w:rsid w:val="003671C9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4951"/>
    <w:rsid w:val="00524C66"/>
    <w:rsid w:val="00526845"/>
    <w:rsid w:val="00527E57"/>
    <w:rsid w:val="00530CB5"/>
    <w:rsid w:val="00534436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251E"/>
    <w:rsid w:val="005D51E7"/>
    <w:rsid w:val="005D5A74"/>
    <w:rsid w:val="005D6203"/>
    <w:rsid w:val="005E3C0A"/>
    <w:rsid w:val="005E42B6"/>
    <w:rsid w:val="005E6498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57E2"/>
    <w:rsid w:val="006864B6"/>
    <w:rsid w:val="00690561"/>
    <w:rsid w:val="00692EB0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931AA"/>
    <w:rsid w:val="00796596"/>
    <w:rsid w:val="007A062A"/>
    <w:rsid w:val="007A18CB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B00"/>
    <w:rsid w:val="00813D40"/>
    <w:rsid w:val="00814F90"/>
    <w:rsid w:val="008224A7"/>
    <w:rsid w:val="008225C1"/>
    <w:rsid w:val="00823BAC"/>
    <w:rsid w:val="00832F4D"/>
    <w:rsid w:val="0083749C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8DB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7FD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608E"/>
    <w:rsid w:val="00931604"/>
    <w:rsid w:val="009318AA"/>
    <w:rsid w:val="009329DC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AF8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4206"/>
    <w:rsid w:val="00A44D82"/>
    <w:rsid w:val="00A46CA5"/>
    <w:rsid w:val="00A47252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56A"/>
    <w:rsid w:val="00A913DA"/>
    <w:rsid w:val="00A9192A"/>
    <w:rsid w:val="00A93E74"/>
    <w:rsid w:val="00A955D7"/>
    <w:rsid w:val="00A957B0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0CB"/>
    <w:rsid w:val="00B0449D"/>
    <w:rsid w:val="00B131C1"/>
    <w:rsid w:val="00B1352D"/>
    <w:rsid w:val="00B1573D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894"/>
    <w:rsid w:val="00B748A7"/>
    <w:rsid w:val="00B8079E"/>
    <w:rsid w:val="00B83A1B"/>
    <w:rsid w:val="00B83DEE"/>
    <w:rsid w:val="00B852BC"/>
    <w:rsid w:val="00B8693D"/>
    <w:rsid w:val="00B86A65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1908"/>
    <w:rsid w:val="00CD275D"/>
    <w:rsid w:val="00CD5079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5BDF"/>
    <w:rsid w:val="00D3641A"/>
    <w:rsid w:val="00D40ACB"/>
    <w:rsid w:val="00D41DDB"/>
    <w:rsid w:val="00D44DFC"/>
    <w:rsid w:val="00D455E6"/>
    <w:rsid w:val="00D464D0"/>
    <w:rsid w:val="00D47495"/>
    <w:rsid w:val="00D508F4"/>
    <w:rsid w:val="00D566D6"/>
    <w:rsid w:val="00D703DD"/>
    <w:rsid w:val="00D70C5A"/>
    <w:rsid w:val="00D766C4"/>
    <w:rsid w:val="00D776FD"/>
    <w:rsid w:val="00D807F4"/>
    <w:rsid w:val="00D8439F"/>
    <w:rsid w:val="00D8586F"/>
    <w:rsid w:val="00D937A5"/>
    <w:rsid w:val="00D93DD6"/>
    <w:rsid w:val="00D95EEB"/>
    <w:rsid w:val="00D97482"/>
    <w:rsid w:val="00D9775A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B69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2CD4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C1223"/>
    <w:rsid w:val="00EC1B9A"/>
    <w:rsid w:val="00EC204D"/>
    <w:rsid w:val="00EC2101"/>
    <w:rsid w:val="00EC68D4"/>
    <w:rsid w:val="00ED06D1"/>
    <w:rsid w:val="00ED2DAA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F099B10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ducation.qld.gov.au/health/pdfs/healthsafety/itd-staff-guideline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61588A9B-5EBB-4778-9836-30F714191F66}"/>
</file>

<file path=customXml/itemProps2.xml><?xml version="1.0" encoding="utf-8"?>
<ds:datastoreItem xmlns:ds="http://schemas.openxmlformats.org/officeDocument/2006/customXml" ds:itemID="{1DB970C8-0502-4796-8017-FAB79B3E0C36}"/>
</file>

<file path=customXml/itemProps3.xml><?xml version="1.0" encoding="utf-8"?>
<ds:datastoreItem xmlns:ds="http://schemas.openxmlformats.org/officeDocument/2006/customXml" ds:itemID="{A88FC1E6-D4FE-4C30-9E3B-CF07FB386F39}"/>
</file>

<file path=customXml/itemProps4.xml><?xml version="1.0" encoding="utf-8"?>
<ds:datastoreItem xmlns:ds="http://schemas.openxmlformats.org/officeDocument/2006/customXml" ds:itemID="{4D9ECD99-B3DB-4B15-92CF-A05EA7F2C5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1807</Words>
  <Characters>12646</Characters>
  <Application>Microsoft Office Word</Application>
  <DocSecurity>0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Hot wire poker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2018-07-04T04:51:00Z</dcterms:created>
  <dcterms:modified xsi:type="dcterms:W3CDTF">2018-07-04T04:51:00Z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