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1952649</wp:posOffset>
                </wp:positionH>
                <wp:positionV relativeFrom="paragraph">
                  <wp:posOffset>576328</wp:posOffset>
                </wp:positionV>
                <wp:extent cx="2579370" cy="336431"/>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2579370" cy="336431"/>
                        </a:xfrm>
                        <a:prstGeom prst="rect">
                          <a:avLst/>
                        </a:prstGeom>
                        <a:noFill/>
                        <a:ln w="6350">
                          <a:noFill/>
                        </a:ln>
                        <a:effectLst/>
                      </wps:spPr>
                      <wps:txbx>
                        <w:txbxContent>
                          <w:p w:rsidR="008A6F56" w:rsidRPr="00B50719" w:rsidRDefault="00B50719" w:rsidP="00B50719">
                            <w:pPr>
                              <w:jc w:val="center"/>
                              <w:rPr>
                                <w:b/>
                                <w:color w:val="FFFFFF" w:themeColor="background1"/>
                                <w:sz w:val="32"/>
                                <w:szCs w:val="39"/>
                              </w:rPr>
                            </w:pPr>
                            <w:r>
                              <w:rPr>
                                <w:b/>
                                <w:color w:val="FFFFFF" w:themeColor="background1"/>
                                <w:sz w:val="32"/>
                                <w:szCs w:val="39"/>
                              </w:rPr>
                              <w:t>METAL SHEARS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75pt;margin-top:45.4pt;width:203.1pt;height:2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" filled="f" stroked="f" strokeweight=".5pt">
                <v:textbox>
                  <w:txbxContent>
                    <w:p w:rsidR="008A6F56" w:rsidRPr="00B50719" w:rsidRDefault="00B50719" w:rsidP="00B50719">
                      <w:pPr>
                        <w:jc w:val="center"/>
                        <w:rPr>
                          <w:b/>
                          <w:color w:val="FFFFFF" w:themeColor="background1"/>
                          <w:sz w:val="32"/>
                          <w:szCs w:val="39"/>
                        </w:rPr>
                      </w:pPr>
                      <w:r>
                        <w:rPr>
                          <w:b/>
                          <w:color w:val="FFFFFF" w:themeColor="background1"/>
                          <w:sz w:val="32"/>
                          <w:szCs w:val="39"/>
                        </w:rPr>
                        <w:t>METAL SHEARS</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10342C"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column">
              <wp:posOffset>5582285</wp:posOffset>
            </wp:positionH>
            <wp:positionV relativeFrom="paragraph">
              <wp:posOffset>38627</wp:posOffset>
            </wp:positionV>
            <wp:extent cx="874800" cy="1620000"/>
            <wp:effectExtent l="0" t="0" r="1905" b="0"/>
            <wp:wrapTight wrapText="bothSides">
              <wp:wrapPolygon edited="0">
                <wp:start x="0" y="0"/>
                <wp:lineTo x="0" y="21338"/>
                <wp:lineTo x="21176" y="21338"/>
                <wp:lineTo x="21176" y="0"/>
                <wp:lineTo x="0" y="0"/>
              </wp:wrapPolygon>
            </wp:wrapTight>
            <wp:docPr id="3" name="Picture 3" descr="Metal Sh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al Shears"/>
                    <pic:cNvPicPr>
                      <a:picLocks noChangeAspect="1" noChangeArrowheads="1"/>
                    </pic:cNvPicPr>
                  </pic:nvPicPr>
                  <pic:blipFill>
                    <a:blip r:embed="rId9" cstate="print">
                      <a:extLst>
                        <a:ext uri="{28A0092B-C50C-407E-A947-70E740481C1C}">
                          <a14:useLocalDpi xmlns:a14="http://schemas.microsoft.com/office/drawing/2010/main" val="0"/>
                        </a:ext>
                      </a:extLst>
                    </a:blip>
                    <a:srcRect l="28725" r="17386"/>
                    <a:stretch>
                      <a:fillRect/>
                    </a:stretch>
                  </pic:blipFill>
                  <pic:spPr bwMode="auto">
                    <a:xfrm>
                      <a:off x="0" y="0"/>
                      <a:ext cx="874800"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E83B39" w:rsidRPr="00A55D00" w:rsidTr="00E83B39">
        <w:trPr>
          <w:trHeight w:val="2007"/>
        </w:trPr>
        <w:tc>
          <w:tcPr>
            <w:tcW w:w="670" w:type="dxa"/>
            <w:shd w:val="clear" w:color="auto" w:fill="auto"/>
            <w:vAlign w:val="center"/>
          </w:tcPr>
          <w:p w:rsidR="00E83B39" w:rsidRPr="00630891" w:rsidRDefault="00E83B39" w:rsidP="00E83B39">
            <w:pPr>
              <w:ind w:left="62"/>
              <w:rPr>
                <w:color w:val="000000"/>
                <w:sz w:val="32"/>
                <w:szCs w:val="32"/>
              </w:rPr>
            </w:pPr>
            <w:r>
              <w:rPr>
                <w:color w:val="000000"/>
                <w:sz w:val="28"/>
                <w:szCs w:val="28"/>
              </w:rPr>
              <w:sym w:font="Wingdings" w:char="F0FE"/>
            </w:r>
          </w:p>
        </w:tc>
        <w:tc>
          <w:tcPr>
            <w:tcW w:w="1593" w:type="dxa"/>
            <w:shd w:val="clear" w:color="auto" w:fill="92D050"/>
            <w:vAlign w:val="center"/>
          </w:tcPr>
          <w:p w:rsidR="00E83B39" w:rsidRPr="001A209C" w:rsidRDefault="00E83B39" w:rsidP="00E83B39">
            <w:pPr>
              <w:rPr>
                <w:sz w:val="22"/>
                <w:szCs w:val="22"/>
              </w:rPr>
            </w:pPr>
            <w:r w:rsidRPr="001A209C">
              <w:rPr>
                <w:b/>
                <w:sz w:val="22"/>
                <w:szCs w:val="22"/>
              </w:rPr>
              <w:t>Low</w:t>
            </w:r>
          </w:p>
        </w:tc>
        <w:tc>
          <w:tcPr>
            <w:tcW w:w="4536" w:type="dxa"/>
            <w:vAlign w:val="center"/>
          </w:tcPr>
          <w:p w:rsidR="00E83B39" w:rsidRDefault="00E83B39" w:rsidP="00E83B39">
            <w:pPr>
              <w:numPr>
                <w:ilvl w:val="0"/>
                <w:numId w:val="27"/>
              </w:numPr>
              <w:tabs>
                <w:tab w:val="clear" w:pos="612"/>
              </w:tabs>
              <w:spacing w:before="40"/>
              <w:ind w:left="284" w:hanging="284"/>
              <w:rPr>
                <w:color w:val="000000"/>
                <w:sz w:val="20"/>
              </w:rPr>
            </w:pPr>
            <w:r>
              <w:rPr>
                <w:color w:val="000000"/>
                <w:sz w:val="20"/>
              </w:rPr>
              <w:t>When the tool can be locked out when not in use and when it is a one person cutting or shearing operation.</w:t>
            </w:r>
          </w:p>
          <w:p w:rsidR="00E83B39" w:rsidRDefault="00E83B39" w:rsidP="00E83B39">
            <w:pPr>
              <w:numPr>
                <w:ilvl w:val="0"/>
                <w:numId w:val="27"/>
              </w:numPr>
              <w:tabs>
                <w:tab w:val="clear" w:pos="612"/>
              </w:tabs>
              <w:spacing w:before="40"/>
              <w:ind w:left="284" w:hanging="284"/>
              <w:rPr>
                <w:color w:val="000000"/>
                <w:sz w:val="20"/>
              </w:rPr>
            </w:pPr>
            <w:r>
              <w:rPr>
                <w:color w:val="000000"/>
                <w:sz w:val="20"/>
              </w:rPr>
              <w:t>When being used under teacher supervision.</w:t>
            </w:r>
          </w:p>
          <w:p w:rsidR="00E83B39" w:rsidRDefault="00E83B39" w:rsidP="00E83B39">
            <w:pPr>
              <w:numPr>
                <w:ilvl w:val="0"/>
                <w:numId w:val="27"/>
              </w:numPr>
              <w:tabs>
                <w:tab w:val="clear" w:pos="612"/>
              </w:tabs>
              <w:spacing w:before="40"/>
              <w:ind w:left="284" w:hanging="284"/>
              <w:rPr>
                <w:color w:val="000000"/>
                <w:sz w:val="20"/>
              </w:rPr>
            </w:pPr>
            <w:r>
              <w:rPr>
                <w:color w:val="000000"/>
                <w:sz w:val="20"/>
              </w:rPr>
              <w:t>When the material is a straight, round or flat bar and of a thickness well within the capacity of the shears.</w:t>
            </w:r>
          </w:p>
          <w:p w:rsidR="00E83B39" w:rsidRDefault="00E83B39" w:rsidP="00E83B39">
            <w:pPr>
              <w:numPr>
                <w:ilvl w:val="0"/>
                <w:numId w:val="27"/>
              </w:numPr>
              <w:tabs>
                <w:tab w:val="clear" w:pos="612"/>
              </w:tabs>
              <w:spacing w:before="40"/>
              <w:ind w:left="284" w:hanging="284"/>
              <w:rPr>
                <w:color w:val="000000"/>
                <w:sz w:val="20"/>
              </w:rPr>
            </w:pPr>
            <w:r>
              <w:rPr>
                <w:color w:val="000000"/>
                <w:sz w:val="20"/>
              </w:rPr>
              <w:t>When the material to be cut is longer than 350mm.</w:t>
            </w:r>
          </w:p>
          <w:p w:rsidR="00E83B39" w:rsidRPr="009B1EA6" w:rsidRDefault="00E83B39" w:rsidP="00E83B39">
            <w:pPr>
              <w:numPr>
                <w:ilvl w:val="0"/>
                <w:numId w:val="27"/>
              </w:numPr>
              <w:tabs>
                <w:tab w:val="clear" w:pos="612"/>
              </w:tabs>
              <w:spacing w:before="40" w:after="40"/>
              <w:ind w:left="284" w:hanging="284"/>
              <w:rPr>
                <w:color w:val="000000"/>
                <w:sz w:val="20"/>
              </w:rPr>
            </w:pPr>
            <w:r>
              <w:rPr>
                <w:color w:val="000000"/>
                <w:sz w:val="20"/>
              </w:rPr>
              <w:t xml:space="preserve">When the operator can be protected from the handle by a face shield, and all body parts are protected </w:t>
            </w:r>
            <w:r w:rsidRPr="00DD1E18">
              <w:rPr>
                <w:color w:val="000000"/>
                <w:sz w:val="20"/>
              </w:rPr>
              <w:t xml:space="preserve">from </w:t>
            </w:r>
            <w:r>
              <w:rPr>
                <w:color w:val="000000"/>
                <w:sz w:val="20"/>
              </w:rPr>
              <w:t xml:space="preserve">any </w:t>
            </w:r>
            <w:r w:rsidRPr="00DD1E18">
              <w:rPr>
                <w:color w:val="000000"/>
                <w:sz w:val="20"/>
              </w:rPr>
              <w:t>pinch points</w:t>
            </w:r>
            <w:r>
              <w:rPr>
                <w:color w:val="000000"/>
                <w:sz w:val="20"/>
              </w:rPr>
              <w:t>.</w:t>
            </w:r>
          </w:p>
        </w:tc>
        <w:tc>
          <w:tcPr>
            <w:tcW w:w="3569" w:type="dxa"/>
            <w:vAlign w:val="center"/>
          </w:tcPr>
          <w:p w:rsidR="00E83B39" w:rsidRPr="00A55D00" w:rsidRDefault="00E83B39" w:rsidP="00E83B39">
            <w:pPr>
              <w:numPr>
                <w:ilvl w:val="0"/>
                <w:numId w:val="26"/>
              </w:numPr>
              <w:tabs>
                <w:tab w:val="clear" w:pos="612"/>
                <w:tab w:val="num" w:pos="301"/>
              </w:tabs>
              <w:ind w:left="300" w:hanging="357"/>
              <w:rPr>
                <w:sz w:val="20"/>
              </w:rPr>
            </w:pPr>
            <w:r w:rsidRPr="00A55D00">
              <w:rPr>
                <w:sz w:val="20"/>
              </w:rPr>
              <w:t>Manage through regular planning processes</w:t>
            </w:r>
          </w:p>
        </w:tc>
      </w:tr>
      <w:tr w:rsidR="00E83B39" w:rsidRPr="00A55D00" w:rsidTr="00FA526E">
        <w:trPr>
          <w:trHeight w:val="1492"/>
        </w:trPr>
        <w:tc>
          <w:tcPr>
            <w:tcW w:w="670" w:type="dxa"/>
            <w:shd w:val="clear" w:color="auto" w:fill="auto"/>
            <w:vAlign w:val="center"/>
          </w:tcPr>
          <w:p w:rsidR="00E83B39" w:rsidRDefault="00E83B39" w:rsidP="00E83B39">
            <w:pPr>
              <w:ind w:left="62"/>
              <w:rPr>
                <w:color w:val="000000"/>
                <w:sz w:val="28"/>
                <w:szCs w:val="28"/>
              </w:rPr>
            </w:pPr>
            <w:r>
              <w:rPr>
                <w:color w:val="000000"/>
                <w:sz w:val="28"/>
                <w:szCs w:val="28"/>
              </w:rPr>
              <w:sym w:font="Wingdings" w:char="F0FE"/>
            </w:r>
          </w:p>
        </w:tc>
        <w:tc>
          <w:tcPr>
            <w:tcW w:w="1593" w:type="dxa"/>
            <w:shd w:val="clear" w:color="auto" w:fill="FFFF00"/>
            <w:vAlign w:val="center"/>
          </w:tcPr>
          <w:p w:rsidR="00E83B39" w:rsidRPr="001A209C" w:rsidRDefault="00E83B39" w:rsidP="00E83B39">
            <w:pPr>
              <w:rPr>
                <w:sz w:val="22"/>
                <w:szCs w:val="22"/>
              </w:rPr>
            </w:pPr>
            <w:r w:rsidRPr="001A209C">
              <w:rPr>
                <w:b/>
                <w:sz w:val="22"/>
                <w:szCs w:val="22"/>
              </w:rPr>
              <w:t>Medium</w:t>
            </w:r>
          </w:p>
        </w:tc>
        <w:tc>
          <w:tcPr>
            <w:tcW w:w="4536" w:type="dxa"/>
            <w:vAlign w:val="center"/>
          </w:tcPr>
          <w:p w:rsidR="00E83B39" w:rsidRPr="00E11F4E" w:rsidRDefault="00E83B39" w:rsidP="00E83B39">
            <w:pPr>
              <w:numPr>
                <w:ilvl w:val="0"/>
                <w:numId w:val="21"/>
              </w:numPr>
              <w:tabs>
                <w:tab w:val="clear" w:pos="612"/>
              </w:tabs>
              <w:ind w:left="284" w:hanging="284"/>
              <w:rPr>
                <w:color w:val="000000"/>
                <w:sz w:val="20"/>
              </w:rPr>
            </w:pPr>
            <w:r>
              <w:rPr>
                <w:color w:val="000000"/>
                <w:sz w:val="20"/>
              </w:rPr>
              <w:t>When the material to be cut is round rod or flat bar of a thickness close to the maximum cutting capacity of the shears.</w:t>
            </w:r>
          </w:p>
        </w:tc>
        <w:tc>
          <w:tcPr>
            <w:tcW w:w="3569" w:type="dxa"/>
            <w:vAlign w:val="center"/>
          </w:tcPr>
          <w:p w:rsidR="00E83B39" w:rsidRPr="001A22D5" w:rsidRDefault="00E83B39" w:rsidP="00E83B39">
            <w:pPr>
              <w:pStyle w:val="BlockText"/>
              <w:numPr>
                <w:ilvl w:val="0"/>
                <w:numId w:val="19"/>
              </w:numPr>
              <w:tabs>
                <w:tab w:val="clear" w:pos="612"/>
                <w:tab w:val="num" w:pos="301"/>
              </w:tabs>
              <w:spacing w:after="60" w:line="240" w:lineRule="auto"/>
              <w:ind w:left="301" w:right="0"/>
            </w:pPr>
            <w:r w:rsidRPr="001A22D5">
              <w:t xml:space="preserve">Document controls in planning documents and/or complete this </w:t>
            </w:r>
            <w:r w:rsidRPr="00A55D00">
              <w:rPr>
                <w:i/>
              </w:rPr>
              <w:t>Plant Risk Assessment</w:t>
            </w:r>
            <w:r w:rsidRPr="001A22D5">
              <w:t>.</w:t>
            </w:r>
          </w:p>
          <w:p w:rsidR="00E83B39" w:rsidRPr="00A55D00" w:rsidRDefault="00E83B39" w:rsidP="00E83B39">
            <w:pPr>
              <w:numPr>
                <w:ilvl w:val="0"/>
                <w:numId w:val="19"/>
              </w:numPr>
              <w:tabs>
                <w:tab w:val="clear" w:pos="612"/>
                <w:tab w:val="num" w:pos="301"/>
              </w:tabs>
              <w:spacing w:before="60" w:after="60"/>
              <w:ind w:left="300" w:hanging="357"/>
              <w:rPr>
                <w:sz w:val="20"/>
              </w:rPr>
            </w:pPr>
            <w:r w:rsidRPr="00A55D00">
              <w:rPr>
                <w:sz w:val="20"/>
              </w:rPr>
              <w:t>Consider obtaining parental permission.</w:t>
            </w:r>
          </w:p>
        </w:tc>
      </w:tr>
      <w:tr w:rsidR="00E83B39" w:rsidRPr="00A55D00" w:rsidTr="00FA526E">
        <w:trPr>
          <w:trHeight w:val="564"/>
        </w:trPr>
        <w:tc>
          <w:tcPr>
            <w:tcW w:w="670" w:type="dxa"/>
            <w:shd w:val="clear" w:color="auto" w:fill="auto"/>
            <w:vAlign w:val="center"/>
          </w:tcPr>
          <w:p w:rsidR="00E83B39" w:rsidRDefault="00E83B39" w:rsidP="00E83B39">
            <w:pPr>
              <w:ind w:left="62"/>
              <w:rPr>
                <w:color w:val="000000"/>
                <w:sz w:val="28"/>
                <w:szCs w:val="28"/>
              </w:rPr>
            </w:pPr>
            <w:r>
              <w:rPr>
                <w:color w:val="000000"/>
                <w:sz w:val="28"/>
                <w:szCs w:val="28"/>
              </w:rPr>
              <w:sym w:font="Wingdings" w:char="F0FE"/>
            </w:r>
          </w:p>
        </w:tc>
        <w:tc>
          <w:tcPr>
            <w:tcW w:w="1593" w:type="dxa"/>
            <w:shd w:val="clear" w:color="auto" w:fill="00B0F0"/>
            <w:vAlign w:val="center"/>
          </w:tcPr>
          <w:p w:rsidR="00E83B39" w:rsidRPr="001A209C" w:rsidRDefault="00E83B39" w:rsidP="00E83B39">
            <w:pPr>
              <w:rPr>
                <w:sz w:val="22"/>
                <w:szCs w:val="22"/>
              </w:rPr>
            </w:pPr>
            <w:r w:rsidRPr="001A209C">
              <w:rPr>
                <w:b/>
                <w:color w:val="FFFFFF"/>
                <w:sz w:val="22"/>
                <w:szCs w:val="22"/>
              </w:rPr>
              <w:t>High</w:t>
            </w:r>
          </w:p>
        </w:tc>
        <w:tc>
          <w:tcPr>
            <w:tcW w:w="4536" w:type="dxa"/>
            <w:vAlign w:val="center"/>
          </w:tcPr>
          <w:p w:rsidR="00E83B39" w:rsidRDefault="00E83B39" w:rsidP="00E83B39">
            <w:pPr>
              <w:rPr>
                <w:color w:val="000000"/>
                <w:sz w:val="20"/>
              </w:rPr>
            </w:pPr>
          </w:p>
          <w:p w:rsidR="00E83B39" w:rsidRDefault="00E83B39" w:rsidP="00E83B39">
            <w:pPr>
              <w:numPr>
                <w:ilvl w:val="0"/>
                <w:numId w:val="21"/>
              </w:numPr>
              <w:tabs>
                <w:tab w:val="clear" w:pos="612"/>
              </w:tabs>
              <w:ind w:left="284" w:hanging="284"/>
              <w:rPr>
                <w:color w:val="000000"/>
                <w:sz w:val="20"/>
              </w:rPr>
            </w:pPr>
            <w:r>
              <w:rPr>
                <w:color w:val="000000"/>
                <w:sz w:val="20"/>
              </w:rPr>
              <w:t>When the material is bent, very long, or awkwardly shaped.</w:t>
            </w:r>
          </w:p>
          <w:p w:rsidR="00E83B39" w:rsidRDefault="00E83B39" w:rsidP="00E83B39">
            <w:pPr>
              <w:numPr>
                <w:ilvl w:val="0"/>
                <w:numId w:val="21"/>
              </w:numPr>
              <w:tabs>
                <w:tab w:val="clear" w:pos="612"/>
              </w:tabs>
              <w:spacing w:before="120"/>
              <w:ind w:left="284" w:hanging="284"/>
              <w:rPr>
                <w:color w:val="000000"/>
                <w:sz w:val="20"/>
              </w:rPr>
            </w:pPr>
            <w:r>
              <w:rPr>
                <w:color w:val="000000"/>
                <w:sz w:val="20"/>
              </w:rPr>
              <w:t>When cutting material shorter than 100mm</w:t>
            </w:r>
          </w:p>
          <w:p w:rsidR="00E83B39" w:rsidRPr="0095227F" w:rsidRDefault="00E83B39" w:rsidP="00E83B39">
            <w:pPr>
              <w:rPr>
                <w:color w:val="000000"/>
                <w:sz w:val="20"/>
              </w:rPr>
            </w:pPr>
          </w:p>
        </w:tc>
        <w:tc>
          <w:tcPr>
            <w:tcW w:w="3569" w:type="dxa"/>
            <w:vAlign w:val="center"/>
          </w:tcPr>
          <w:p w:rsidR="00E83B39" w:rsidRPr="001A22D5" w:rsidRDefault="00E83B39" w:rsidP="00E83B39">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E83B39" w:rsidRDefault="00E83B39" w:rsidP="00E83B39">
            <w:pPr>
              <w:pStyle w:val="BlockText"/>
              <w:numPr>
                <w:ilvl w:val="0"/>
                <w:numId w:val="1"/>
              </w:numPr>
              <w:tabs>
                <w:tab w:val="clear" w:pos="720"/>
                <w:tab w:val="num" w:pos="301"/>
              </w:tabs>
              <w:spacing w:before="60" w:after="0" w:line="240" w:lineRule="auto"/>
              <w:ind w:left="300" w:right="0" w:hanging="357"/>
            </w:pPr>
            <w:r w:rsidRPr="001A22D5">
              <w:t>Princ</w:t>
            </w:r>
            <w:r>
              <w:t xml:space="preserve">ipal or Classified Officer </w:t>
            </w:r>
          </w:p>
          <w:p w:rsidR="00E83B39" w:rsidRPr="001A22D5" w:rsidRDefault="00E83B39" w:rsidP="00E83B39">
            <w:pPr>
              <w:pStyle w:val="BlockText"/>
              <w:spacing w:after="60" w:line="240" w:lineRule="auto"/>
              <w:ind w:left="301" w:right="0"/>
            </w:pPr>
            <w:r>
              <w:t>(</w:t>
            </w:r>
            <w:proofErr w:type="gramStart"/>
            <w:r>
              <w:t>i.e</w:t>
            </w:r>
            <w:proofErr w:type="gramEnd"/>
            <w:r>
              <w:t>.</w:t>
            </w:r>
            <w:r w:rsidRPr="001A22D5">
              <w:t xml:space="preserve"> DP, HOD, </w:t>
            </w:r>
            <w:r>
              <w:t xml:space="preserve">HOC, </w:t>
            </w:r>
            <w:r w:rsidRPr="001A22D5">
              <w:t>HOSES) approval prior to conducting this activity is required.</w:t>
            </w:r>
          </w:p>
          <w:p w:rsidR="00E83B39" w:rsidRPr="001A22D5" w:rsidRDefault="00E83B39" w:rsidP="00E83B39">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C16142">
              <w:rPr>
                <w:bCs/>
                <w:iCs/>
                <w:color w:val="000080"/>
                <w:sz w:val="20"/>
              </w:rPr>
            </w:r>
            <w:r w:rsidR="00C16142">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C16142">
              <w:rPr>
                <w:bCs/>
                <w:iCs/>
                <w:color w:val="000080"/>
                <w:sz w:val="20"/>
              </w:rPr>
            </w:r>
            <w:r w:rsidR="00C16142">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C16142" w:rsidRPr="00A477A4" w:rsidRDefault="00C16142" w:rsidP="00C16142">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C16142" w:rsidP="00C16142">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FA526E" w:rsidRPr="00A55D00" w:rsidTr="008B3011">
        <w:trPr>
          <w:cantSplit/>
          <w:trHeight w:val="627"/>
        </w:trPr>
        <w:tc>
          <w:tcPr>
            <w:tcW w:w="2661" w:type="dxa"/>
            <w:vMerge w:val="restart"/>
            <w:tcBorders>
              <w:right w:val="single" w:sz="4" w:space="0" w:color="auto"/>
            </w:tcBorders>
          </w:tcPr>
          <w:p w:rsidR="00FA526E" w:rsidRPr="005E17E1" w:rsidRDefault="00FA526E" w:rsidP="00FA526E">
            <w:pPr>
              <w:spacing w:before="120"/>
              <w:ind w:right="-113"/>
              <w:rPr>
                <w:b/>
                <w:sz w:val="22"/>
                <w:szCs w:val="22"/>
              </w:rPr>
            </w:pPr>
            <w:r>
              <w:rPr>
                <w:b/>
                <w:sz w:val="20"/>
              </w:rPr>
              <w:t xml:space="preserve">  </w:t>
            </w:r>
            <w:r w:rsidRPr="005E17E1">
              <w:rPr>
                <w:b/>
                <w:sz w:val="22"/>
                <w:szCs w:val="22"/>
              </w:rPr>
              <w:t>Exposure to Rotating</w:t>
            </w:r>
          </w:p>
          <w:p w:rsidR="00FA526E" w:rsidRPr="005E17E1" w:rsidRDefault="00FA526E" w:rsidP="00FA526E">
            <w:pPr>
              <w:spacing w:after="60"/>
              <w:rPr>
                <w:b/>
                <w:sz w:val="22"/>
                <w:szCs w:val="22"/>
              </w:rPr>
            </w:pPr>
            <w:r w:rsidRPr="005E17E1">
              <w:rPr>
                <w:b/>
                <w:sz w:val="22"/>
                <w:szCs w:val="22"/>
              </w:rPr>
              <w:t xml:space="preserve">  or Moving Parts:</w:t>
            </w:r>
          </w:p>
          <w:p w:rsidR="00FA526E" w:rsidRPr="002A6993" w:rsidRDefault="00F60DDA" w:rsidP="00FA526E">
            <w:pPr>
              <w:numPr>
                <w:ilvl w:val="0"/>
                <w:numId w:val="8"/>
              </w:numPr>
              <w:tabs>
                <w:tab w:val="clear" w:pos="720"/>
                <w:tab w:val="num" w:pos="227"/>
              </w:tabs>
              <w:spacing w:before="120"/>
              <w:ind w:left="340" w:hanging="340"/>
              <w:rPr>
                <w:b/>
                <w:sz w:val="20"/>
              </w:rPr>
            </w:pPr>
            <w:r>
              <w:rPr>
                <w:b/>
                <w:sz w:val="20"/>
              </w:rPr>
              <w:t xml:space="preserve"> </w:t>
            </w:r>
            <w:r w:rsidR="00FA526E" w:rsidRPr="002A6993">
              <w:rPr>
                <w:b/>
                <w:sz w:val="20"/>
              </w:rPr>
              <w:t>Striking</w:t>
            </w:r>
          </w:p>
          <w:p w:rsidR="00FA526E" w:rsidRDefault="00FA526E" w:rsidP="00FA526E">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FA526E" w:rsidRPr="00997FE4" w:rsidRDefault="00FA526E" w:rsidP="00FA526E">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FA526E" w:rsidRPr="00B70012" w:rsidRDefault="00FA526E" w:rsidP="00FA526E">
            <w:pPr>
              <w:spacing w:after="60"/>
              <w:ind w:left="283"/>
              <w:rPr>
                <w:b/>
                <w:sz w:val="19"/>
                <w:szCs w:val="19"/>
              </w:rPr>
            </w:pPr>
            <w:r>
              <w:rPr>
                <w:b/>
                <w:sz w:val="20"/>
              </w:rPr>
              <w:t>Pinching</w:t>
            </w:r>
          </w:p>
          <w:p w:rsidR="00FA526E" w:rsidRDefault="00FA526E" w:rsidP="00FA526E">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FA526E" w:rsidRPr="002A6993" w:rsidRDefault="00F60DDA" w:rsidP="00FA526E">
            <w:pPr>
              <w:numPr>
                <w:ilvl w:val="0"/>
                <w:numId w:val="9"/>
              </w:numPr>
              <w:tabs>
                <w:tab w:val="clear" w:pos="720"/>
                <w:tab w:val="num" w:pos="227"/>
              </w:tabs>
              <w:spacing w:before="120"/>
              <w:ind w:left="340" w:hanging="340"/>
              <w:rPr>
                <w:b/>
                <w:sz w:val="20"/>
              </w:rPr>
            </w:pPr>
            <w:r>
              <w:rPr>
                <w:b/>
                <w:sz w:val="20"/>
              </w:rPr>
              <w:t xml:space="preserve"> </w:t>
            </w:r>
            <w:r w:rsidR="00FA526E" w:rsidRPr="002A6993">
              <w:rPr>
                <w:b/>
                <w:sz w:val="20"/>
              </w:rPr>
              <w:t>Shearing</w:t>
            </w:r>
          </w:p>
          <w:p w:rsidR="00FA526E" w:rsidRDefault="00FA526E" w:rsidP="00FA526E">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FA526E" w:rsidRPr="00997FE4" w:rsidRDefault="00FA526E" w:rsidP="00FA526E">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FA526E" w:rsidRPr="00241223" w:rsidRDefault="00FA526E" w:rsidP="00FA526E">
            <w:pPr>
              <w:spacing w:after="60"/>
              <w:ind w:left="283"/>
              <w:rPr>
                <w:b/>
                <w:sz w:val="20"/>
              </w:rPr>
            </w:pPr>
            <w:r>
              <w:rPr>
                <w:b/>
                <w:sz w:val="20"/>
              </w:rPr>
              <w:t>and Puncturing</w:t>
            </w:r>
          </w:p>
          <w:p w:rsidR="00FA526E" w:rsidRPr="002A6993" w:rsidRDefault="00FA526E" w:rsidP="00FA526E">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FA526E" w:rsidRPr="002A6993" w:rsidRDefault="00FA526E" w:rsidP="00FA526E">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bench mounted metal cutting shears, are substituted or replaced with less hazardous alternatives.</w:t>
            </w:r>
          </w:p>
        </w:tc>
        <w:tc>
          <w:tcPr>
            <w:tcW w:w="574" w:type="dxa"/>
            <w:tcBorders>
              <w:bottom w:val="nil"/>
            </w:tcBorders>
            <w:shd w:val="clear" w:color="auto" w:fill="auto"/>
          </w:tcPr>
          <w:p w:rsidR="00FA526E" w:rsidRPr="00A55D00" w:rsidRDefault="00FA526E" w:rsidP="00FA526E">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FA526E" w:rsidRPr="00A55D00" w:rsidRDefault="00FA526E" w:rsidP="00FA526E">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FA526E" w:rsidRDefault="00FA526E" w:rsidP="00FA526E">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FA526E" w:rsidRPr="00A55D00" w:rsidTr="001254D8">
        <w:trPr>
          <w:cantSplit/>
          <w:trHeight w:val="510"/>
        </w:trPr>
        <w:tc>
          <w:tcPr>
            <w:tcW w:w="2661" w:type="dxa"/>
            <w:vMerge/>
            <w:tcBorders>
              <w:right w:val="single" w:sz="4" w:space="0" w:color="auto"/>
            </w:tcBorders>
          </w:tcPr>
          <w:p w:rsidR="00FA526E" w:rsidRPr="00A55D00" w:rsidRDefault="00FA526E" w:rsidP="00FA526E">
            <w:pPr>
              <w:spacing w:before="120"/>
              <w:ind w:right="-113"/>
              <w:rPr>
                <w:rFonts w:cs="Arial"/>
                <w:bCs/>
                <w:iCs/>
                <w:color w:val="000080"/>
                <w:sz w:val="20"/>
              </w:rPr>
            </w:pPr>
          </w:p>
        </w:tc>
        <w:tc>
          <w:tcPr>
            <w:tcW w:w="3962" w:type="dxa"/>
            <w:tcBorders>
              <w:top w:val="nil"/>
              <w:left w:val="single" w:sz="4" w:space="0" w:color="auto"/>
              <w:bottom w:val="nil"/>
            </w:tcBorders>
          </w:tcPr>
          <w:p w:rsidR="00FA526E" w:rsidRPr="002A6993" w:rsidRDefault="00FA526E" w:rsidP="00FA526E">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A526E" w:rsidRDefault="00FA526E" w:rsidP="00FA526E">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A526E" w:rsidRPr="00A55D00" w:rsidTr="008B3011">
        <w:trPr>
          <w:cantSplit/>
          <w:trHeight w:val="369"/>
        </w:trPr>
        <w:tc>
          <w:tcPr>
            <w:tcW w:w="2661" w:type="dxa"/>
            <w:vMerge/>
            <w:tcBorders>
              <w:right w:val="single" w:sz="4" w:space="0" w:color="auto"/>
            </w:tcBorders>
          </w:tcPr>
          <w:p w:rsidR="00FA526E" w:rsidRPr="00A55D00" w:rsidRDefault="00FA526E" w:rsidP="00FA526E">
            <w:pPr>
              <w:spacing w:before="120"/>
              <w:ind w:right="-113"/>
              <w:rPr>
                <w:rFonts w:cs="Arial"/>
                <w:bCs/>
                <w:iCs/>
                <w:color w:val="000080"/>
                <w:sz w:val="20"/>
              </w:rPr>
            </w:pPr>
          </w:p>
        </w:tc>
        <w:tc>
          <w:tcPr>
            <w:tcW w:w="3962" w:type="dxa"/>
            <w:tcBorders>
              <w:top w:val="nil"/>
              <w:left w:val="single" w:sz="4" w:space="0" w:color="auto"/>
              <w:bottom w:val="nil"/>
            </w:tcBorders>
          </w:tcPr>
          <w:p w:rsidR="00FA526E" w:rsidRPr="00E11F4E" w:rsidRDefault="00FA526E" w:rsidP="00FA526E">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metal cutting shears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A526E" w:rsidRDefault="00FA526E" w:rsidP="00FA526E">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A526E" w:rsidRPr="00A55D00" w:rsidTr="008A6F56">
        <w:trPr>
          <w:cantSplit/>
          <w:trHeight w:val="457"/>
        </w:trPr>
        <w:tc>
          <w:tcPr>
            <w:tcW w:w="2661" w:type="dxa"/>
            <w:vMerge/>
            <w:tcBorders>
              <w:right w:val="single" w:sz="4" w:space="0" w:color="auto"/>
            </w:tcBorders>
          </w:tcPr>
          <w:p w:rsidR="00FA526E" w:rsidRPr="00A55D00" w:rsidRDefault="00FA526E" w:rsidP="00FA526E">
            <w:pPr>
              <w:spacing w:before="120"/>
              <w:ind w:right="-113"/>
              <w:rPr>
                <w:rFonts w:cs="Arial"/>
                <w:bCs/>
                <w:iCs/>
                <w:color w:val="000080"/>
                <w:sz w:val="20"/>
              </w:rPr>
            </w:pPr>
          </w:p>
        </w:tc>
        <w:tc>
          <w:tcPr>
            <w:tcW w:w="3962" w:type="dxa"/>
            <w:tcBorders>
              <w:top w:val="nil"/>
              <w:left w:val="single" w:sz="4" w:space="0" w:color="auto"/>
              <w:bottom w:val="nil"/>
            </w:tcBorders>
          </w:tcPr>
          <w:p w:rsidR="00FA526E" w:rsidRPr="00E11F4E" w:rsidRDefault="00FA526E" w:rsidP="00FA526E">
            <w:pPr>
              <w:numPr>
                <w:ilvl w:val="0"/>
                <w:numId w:val="2"/>
              </w:numPr>
              <w:tabs>
                <w:tab w:val="clear" w:pos="720"/>
                <w:tab w:val="left" w:pos="284"/>
              </w:tabs>
              <w:autoSpaceDE w:val="0"/>
              <w:autoSpaceDN w:val="0"/>
              <w:adjustRightInd w:val="0"/>
              <w:spacing w:before="60" w:after="60"/>
              <w:ind w:left="284" w:hanging="284"/>
              <w:rPr>
                <w:rFonts w:cs="Arial"/>
                <w:sz w:val="18"/>
                <w:szCs w:val="18"/>
              </w:rPr>
            </w:pPr>
            <w:r>
              <w:rPr>
                <w:rFonts w:cs="Arial"/>
                <w:sz w:val="18"/>
                <w:szCs w:val="18"/>
              </w:rPr>
              <w:t xml:space="preserve">A “Lock Out” padlock (or similar) is to be fitted to the metal cutting shears when </w:t>
            </w:r>
            <w:r>
              <w:rPr>
                <w:rFonts w:cs="Arial"/>
                <w:sz w:val="18"/>
                <w:szCs w:val="18"/>
                <w:lang w:eastAsia="en-US"/>
              </w:rPr>
              <w:t>not in use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FA526E" w:rsidRPr="00A55D00" w:rsidRDefault="00FA526E" w:rsidP="00FA526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A526E" w:rsidRPr="00A55D00" w:rsidRDefault="00FA526E" w:rsidP="00FA526E">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A526E" w:rsidRDefault="00FA526E" w:rsidP="00FA526E">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A526E" w:rsidRPr="00A55D00" w:rsidTr="008B3011">
        <w:trPr>
          <w:cantSplit/>
          <w:trHeight w:val="463"/>
        </w:trPr>
        <w:tc>
          <w:tcPr>
            <w:tcW w:w="2661" w:type="dxa"/>
            <w:vMerge/>
            <w:tcBorders>
              <w:right w:val="single" w:sz="4" w:space="0" w:color="auto"/>
            </w:tcBorders>
          </w:tcPr>
          <w:p w:rsidR="00FA526E" w:rsidRPr="00A55D00" w:rsidRDefault="00FA526E" w:rsidP="00FA526E">
            <w:pPr>
              <w:spacing w:before="120"/>
              <w:ind w:right="-113"/>
              <w:rPr>
                <w:rFonts w:cs="Arial"/>
                <w:bCs/>
                <w:iCs/>
                <w:color w:val="000080"/>
                <w:sz w:val="20"/>
              </w:rPr>
            </w:pPr>
          </w:p>
        </w:tc>
        <w:tc>
          <w:tcPr>
            <w:tcW w:w="3962" w:type="dxa"/>
            <w:tcBorders>
              <w:top w:val="nil"/>
              <w:left w:val="single" w:sz="4" w:space="0" w:color="auto"/>
              <w:bottom w:val="nil"/>
            </w:tcBorders>
          </w:tcPr>
          <w:p w:rsidR="00FA526E" w:rsidRDefault="00FA526E" w:rsidP="00FA526E">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FA526E" w:rsidRPr="00A55D00" w:rsidRDefault="00FA526E" w:rsidP="00FA526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A526E" w:rsidRPr="00A55D00" w:rsidRDefault="00FA526E" w:rsidP="00FA526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A526E" w:rsidRDefault="00FA526E" w:rsidP="00FA526E">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A526E" w:rsidRPr="00A55D00" w:rsidTr="008B3011">
        <w:trPr>
          <w:cantSplit/>
          <w:trHeight w:val="505"/>
        </w:trPr>
        <w:tc>
          <w:tcPr>
            <w:tcW w:w="2661" w:type="dxa"/>
            <w:vMerge/>
            <w:tcBorders>
              <w:right w:val="single" w:sz="4" w:space="0" w:color="auto"/>
            </w:tcBorders>
          </w:tcPr>
          <w:p w:rsidR="00FA526E" w:rsidRPr="002A6993" w:rsidRDefault="00FA526E" w:rsidP="00FA526E">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FA526E" w:rsidRPr="002A6993" w:rsidRDefault="00FA526E" w:rsidP="00F60DDA">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the metal cutting shears are available and clearly displayed.</w:t>
            </w:r>
          </w:p>
        </w:tc>
        <w:tc>
          <w:tcPr>
            <w:tcW w:w="574" w:type="dxa"/>
            <w:tcBorders>
              <w:top w:val="nil"/>
              <w:bottom w:val="nil"/>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A526E" w:rsidRDefault="00FA526E" w:rsidP="00FA526E">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FA526E" w:rsidRPr="00A55D00" w:rsidTr="00802F78">
        <w:trPr>
          <w:cantSplit/>
          <w:trHeight w:val="614"/>
        </w:trPr>
        <w:tc>
          <w:tcPr>
            <w:tcW w:w="2661" w:type="dxa"/>
            <w:vMerge/>
            <w:tcBorders>
              <w:right w:val="single" w:sz="4" w:space="0" w:color="auto"/>
            </w:tcBorders>
          </w:tcPr>
          <w:p w:rsidR="00FA526E" w:rsidRPr="002A6993" w:rsidRDefault="00FA526E" w:rsidP="00FA526E">
            <w:pPr>
              <w:pStyle w:val="BodyText"/>
              <w:keepNext/>
              <w:keepLines/>
              <w:spacing w:before="120" w:after="60"/>
              <w:rPr>
                <w:b/>
                <w:sz w:val="18"/>
                <w:szCs w:val="18"/>
              </w:rPr>
            </w:pPr>
          </w:p>
        </w:tc>
        <w:tc>
          <w:tcPr>
            <w:tcW w:w="3962" w:type="dxa"/>
            <w:tcBorders>
              <w:top w:val="nil"/>
              <w:left w:val="single" w:sz="4" w:space="0" w:color="auto"/>
              <w:bottom w:val="nil"/>
            </w:tcBorders>
          </w:tcPr>
          <w:p w:rsidR="00FA526E" w:rsidRPr="002A6993" w:rsidRDefault="00FA526E" w:rsidP="00FA526E">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A526E" w:rsidRDefault="00FA526E" w:rsidP="00FA526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A526E" w:rsidRPr="00A55D00" w:rsidTr="00F60DDA">
        <w:trPr>
          <w:cantSplit/>
          <w:trHeight w:val="707"/>
        </w:trPr>
        <w:tc>
          <w:tcPr>
            <w:tcW w:w="2661" w:type="dxa"/>
            <w:vMerge/>
            <w:tcBorders>
              <w:right w:val="single" w:sz="4" w:space="0" w:color="auto"/>
            </w:tcBorders>
          </w:tcPr>
          <w:p w:rsidR="00FA526E" w:rsidRPr="002A6993" w:rsidRDefault="00FA526E" w:rsidP="00FA526E">
            <w:pPr>
              <w:pStyle w:val="BodyText"/>
              <w:keepNext/>
              <w:keepLines/>
              <w:spacing w:before="120" w:after="60"/>
              <w:rPr>
                <w:b/>
                <w:sz w:val="18"/>
                <w:szCs w:val="18"/>
              </w:rPr>
            </w:pPr>
          </w:p>
        </w:tc>
        <w:tc>
          <w:tcPr>
            <w:tcW w:w="3962" w:type="dxa"/>
            <w:tcBorders>
              <w:top w:val="nil"/>
              <w:left w:val="single" w:sz="4" w:space="0" w:color="auto"/>
              <w:bottom w:val="single" w:sz="4" w:space="0" w:color="auto"/>
            </w:tcBorders>
          </w:tcPr>
          <w:p w:rsidR="00FA526E" w:rsidRPr="002A6993" w:rsidRDefault="00FA526E" w:rsidP="00FA526E">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A526E" w:rsidRPr="00A55D00" w:rsidRDefault="00FA526E" w:rsidP="00FA526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FA526E" w:rsidRDefault="00FA526E" w:rsidP="00FA526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60DDA" w:rsidRPr="00A55D00" w:rsidTr="00F60DDA">
        <w:trPr>
          <w:cantSplit/>
          <w:trHeight w:val="824"/>
        </w:trPr>
        <w:tc>
          <w:tcPr>
            <w:tcW w:w="2661" w:type="dxa"/>
            <w:vMerge w:val="restart"/>
            <w:tcBorders>
              <w:right w:val="single" w:sz="4" w:space="0" w:color="auto"/>
            </w:tcBorders>
          </w:tcPr>
          <w:p w:rsidR="00F60DDA" w:rsidRPr="005E17E1" w:rsidRDefault="00F60DDA" w:rsidP="00F60DDA">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F60DDA" w:rsidRPr="005E17E1" w:rsidRDefault="00F60DDA" w:rsidP="00F60DDA">
            <w:pPr>
              <w:rPr>
                <w:b/>
                <w:sz w:val="22"/>
                <w:szCs w:val="22"/>
              </w:rPr>
            </w:pPr>
            <w:r>
              <w:rPr>
                <w:b/>
                <w:sz w:val="22"/>
                <w:szCs w:val="22"/>
              </w:rPr>
              <w:t xml:space="preserve"> </w:t>
            </w:r>
            <w:r w:rsidRPr="005E17E1">
              <w:rPr>
                <w:b/>
                <w:sz w:val="22"/>
                <w:szCs w:val="22"/>
              </w:rPr>
              <w:t>Manual Handling:</w:t>
            </w:r>
          </w:p>
          <w:p w:rsidR="00F60DDA" w:rsidRDefault="00F60DDA" w:rsidP="00F60DDA">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F60DDA" w:rsidRDefault="00F60DDA" w:rsidP="00F60DDA">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F60DDA" w:rsidRDefault="00F60DDA" w:rsidP="00F60DDA">
            <w:pPr>
              <w:rPr>
                <w:sz w:val="18"/>
                <w:szCs w:val="18"/>
              </w:rPr>
            </w:pPr>
          </w:p>
          <w:p w:rsidR="00F60DDA" w:rsidRPr="00BD6FAB" w:rsidRDefault="00F60DDA" w:rsidP="00F60DDA">
            <w:pPr>
              <w:rPr>
                <w:b/>
                <w:sz w:val="6"/>
                <w:szCs w:val="6"/>
              </w:rPr>
            </w:pPr>
          </w:p>
        </w:tc>
        <w:tc>
          <w:tcPr>
            <w:tcW w:w="3962" w:type="dxa"/>
            <w:tcBorders>
              <w:top w:val="single" w:sz="4" w:space="0" w:color="auto"/>
              <w:left w:val="single" w:sz="4" w:space="0" w:color="auto"/>
              <w:bottom w:val="nil"/>
            </w:tcBorders>
          </w:tcPr>
          <w:p w:rsidR="00F60DDA" w:rsidRPr="002A6993" w:rsidRDefault="00F60DDA" w:rsidP="00F60DDA">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the workbench supporting the metal cutting shears is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F60DDA" w:rsidRPr="00A55D00" w:rsidRDefault="00F60DDA" w:rsidP="00F60DD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F60DDA" w:rsidRPr="00A55D00" w:rsidRDefault="00F60DDA" w:rsidP="00F60DD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F60DDA" w:rsidRDefault="00F60DDA" w:rsidP="00F60DDA">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60DDA" w:rsidRPr="00A55D00" w:rsidTr="00F60DDA">
        <w:trPr>
          <w:cantSplit/>
          <w:trHeight w:val="436"/>
        </w:trPr>
        <w:tc>
          <w:tcPr>
            <w:tcW w:w="2661" w:type="dxa"/>
            <w:vMerge/>
            <w:tcBorders>
              <w:right w:val="single" w:sz="4" w:space="0" w:color="auto"/>
            </w:tcBorders>
          </w:tcPr>
          <w:p w:rsidR="00F60DDA" w:rsidRDefault="00F60DDA" w:rsidP="00F60DDA">
            <w:pPr>
              <w:spacing w:before="240"/>
              <w:rPr>
                <w:b/>
                <w:sz w:val="20"/>
              </w:rPr>
            </w:pPr>
          </w:p>
        </w:tc>
        <w:tc>
          <w:tcPr>
            <w:tcW w:w="3962" w:type="dxa"/>
            <w:tcBorders>
              <w:top w:val="nil"/>
              <w:left w:val="single" w:sz="4" w:space="0" w:color="auto"/>
              <w:bottom w:val="nil"/>
            </w:tcBorders>
          </w:tcPr>
          <w:p w:rsidR="00F60DDA" w:rsidRPr="002A6993" w:rsidRDefault="00F60DDA" w:rsidP="00F60DDA">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F60DDA" w:rsidRPr="00A55D00" w:rsidRDefault="00F60DDA" w:rsidP="00F60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60DDA" w:rsidRPr="00A55D00" w:rsidRDefault="00F60DDA" w:rsidP="00F60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60DDA" w:rsidRDefault="00F60DDA" w:rsidP="00F60DD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60DDA" w:rsidRPr="00A55D00" w:rsidTr="00F60DDA">
        <w:trPr>
          <w:cantSplit/>
          <w:trHeight w:val="640"/>
        </w:trPr>
        <w:tc>
          <w:tcPr>
            <w:tcW w:w="2661" w:type="dxa"/>
            <w:vMerge/>
            <w:tcBorders>
              <w:right w:val="single" w:sz="4" w:space="0" w:color="auto"/>
            </w:tcBorders>
          </w:tcPr>
          <w:p w:rsidR="00F60DDA" w:rsidRDefault="00F60DDA" w:rsidP="00F60DDA">
            <w:pPr>
              <w:spacing w:before="240"/>
              <w:rPr>
                <w:b/>
                <w:sz w:val="20"/>
              </w:rPr>
            </w:pPr>
          </w:p>
        </w:tc>
        <w:tc>
          <w:tcPr>
            <w:tcW w:w="3962" w:type="dxa"/>
            <w:tcBorders>
              <w:top w:val="nil"/>
              <w:left w:val="single" w:sz="4" w:space="0" w:color="auto"/>
              <w:bottom w:val="single" w:sz="4" w:space="0" w:color="auto"/>
            </w:tcBorders>
          </w:tcPr>
          <w:p w:rsidR="00F60DDA" w:rsidRDefault="00F60DDA" w:rsidP="00F60DDA">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F60DDA" w:rsidRDefault="00F60DDA" w:rsidP="00F60DDA">
            <w:pPr>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F60DDA" w:rsidRPr="00A55D00" w:rsidRDefault="00F60DDA" w:rsidP="00F60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F60DDA" w:rsidRPr="00A55D00" w:rsidRDefault="00F60DDA" w:rsidP="00F60DD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F60DDA" w:rsidRDefault="00F60DDA" w:rsidP="00F60DD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C16142">
              <w:rPr>
                <w:rFonts w:cs="Arial"/>
                <w:b/>
                <w:color w:val="000080"/>
                <w:sz w:val="22"/>
              </w:rPr>
            </w:r>
            <w:r w:rsidR="00C1614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C16142">
              <w:rPr>
                <w:rFonts w:cs="Arial"/>
                <w:b/>
                <w:color w:val="000080"/>
                <w:sz w:val="22"/>
              </w:rPr>
            </w:r>
            <w:r w:rsidR="00C1614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C16142">
              <w:rPr>
                <w:rFonts w:cs="Arial"/>
                <w:b/>
                <w:color w:val="000080"/>
                <w:sz w:val="22"/>
              </w:rPr>
            </w:r>
            <w:r w:rsidR="00C1614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C16142">
              <w:rPr>
                <w:rFonts w:cs="Arial"/>
                <w:bCs/>
                <w:iCs/>
                <w:color w:val="000080"/>
                <w:sz w:val="20"/>
              </w:rPr>
            </w:r>
            <w:r w:rsidR="00C1614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56" w:rsidRDefault="008A6F56">
      <w:r>
        <w:separator/>
      </w:r>
    </w:p>
  </w:endnote>
  <w:endnote w:type="continuationSeparator" w:id="0">
    <w:p w:rsidR="008A6F56" w:rsidRDefault="008A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56" w:rsidRPr="00441959" w:rsidRDefault="008A6F56"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F56" w:rsidRPr="005246DF" w:rsidRDefault="008A6F56"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8A6F56" w:rsidRDefault="008A6F56" w:rsidP="00967C17">
                          <w:pPr>
                            <w:rPr>
                              <w:sz w:val="16"/>
                              <w:szCs w:val="16"/>
                            </w:rPr>
                          </w:pPr>
                          <w:r w:rsidRPr="005246DF">
                            <w:rPr>
                              <w:sz w:val="16"/>
                              <w:szCs w:val="16"/>
                            </w:rPr>
                            <w:t>Uncontrolled when printed</w:t>
                          </w:r>
                        </w:p>
                        <w:p w:rsidR="008A6F56" w:rsidRPr="005246DF" w:rsidRDefault="008A6F56"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C16142">
                            <w:rPr>
                              <w:b/>
                              <w:bCs/>
                              <w:noProof/>
                              <w:sz w:val="14"/>
                            </w:rPr>
                            <w:t>4</w:t>
                          </w:r>
                          <w:r w:rsidRPr="00F172D7">
                            <w:rPr>
                              <w:b/>
                              <w:bCs/>
                              <w:sz w:val="14"/>
                            </w:rPr>
                            <w:fldChar w:fldCharType="end"/>
                          </w:r>
                          <w:r w:rsidRPr="00F172D7">
                            <w:rPr>
                              <w:sz w:val="14"/>
                            </w:rPr>
                            <w:t xml:space="preserve"> of </w:t>
                          </w:r>
                          <w:r w:rsidR="00F60DDA">
                            <w:rPr>
                              <w:sz w:val="14"/>
                            </w:rPr>
                            <w:t>5</w:t>
                          </w:r>
                        </w:p>
                        <w:p w:rsidR="008A6F56" w:rsidRPr="00F06006" w:rsidRDefault="008A6F56"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8A6F56" w:rsidRPr="005246DF" w:rsidRDefault="008A6F56"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8A6F56" w:rsidRDefault="008A6F56" w:rsidP="00967C17">
                    <w:pPr>
                      <w:rPr>
                        <w:sz w:val="16"/>
                        <w:szCs w:val="16"/>
                      </w:rPr>
                    </w:pPr>
                    <w:r w:rsidRPr="005246DF">
                      <w:rPr>
                        <w:sz w:val="16"/>
                        <w:szCs w:val="16"/>
                      </w:rPr>
                      <w:t>Uncontrolled when printed</w:t>
                    </w:r>
                  </w:p>
                  <w:p w:rsidR="008A6F56" w:rsidRPr="005246DF" w:rsidRDefault="008A6F56"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C16142">
                      <w:rPr>
                        <w:b/>
                        <w:bCs/>
                        <w:noProof/>
                        <w:sz w:val="14"/>
                      </w:rPr>
                      <w:t>4</w:t>
                    </w:r>
                    <w:r w:rsidRPr="00F172D7">
                      <w:rPr>
                        <w:b/>
                        <w:bCs/>
                        <w:sz w:val="14"/>
                      </w:rPr>
                      <w:fldChar w:fldCharType="end"/>
                    </w:r>
                    <w:r w:rsidRPr="00F172D7">
                      <w:rPr>
                        <w:sz w:val="14"/>
                      </w:rPr>
                      <w:t xml:space="preserve"> of </w:t>
                    </w:r>
                    <w:r w:rsidR="00F60DDA">
                      <w:rPr>
                        <w:sz w:val="14"/>
                      </w:rPr>
                      <w:t>5</w:t>
                    </w:r>
                  </w:p>
                  <w:p w:rsidR="008A6F56" w:rsidRPr="00F06006" w:rsidRDefault="008A6F56"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F56" w:rsidRPr="00D65DEB" w:rsidRDefault="008A6F56"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8A6F56" w:rsidRPr="00D65DEB" w:rsidRDefault="008A6F56"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56" w:rsidRDefault="008A6F56">
      <w:r>
        <w:separator/>
      </w:r>
    </w:p>
  </w:footnote>
  <w:footnote w:type="continuationSeparator" w:id="0">
    <w:p w:rsidR="008A6F56" w:rsidRDefault="008A6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A2831BB"/>
    <w:multiLevelType w:val="hybridMultilevel"/>
    <w:tmpl w:val="3DCC4A96"/>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1"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8"/>
  </w:num>
  <w:num w:numId="4">
    <w:abstractNumId w:val="16"/>
  </w:num>
  <w:num w:numId="5">
    <w:abstractNumId w:val="24"/>
  </w:num>
  <w:num w:numId="6">
    <w:abstractNumId w:val="3"/>
  </w:num>
  <w:num w:numId="7">
    <w:abstractNumId w:val="17"/>
  </w:num>
  <w:num w:numId="8">
    <w:abstractNumId w:val="26"/>
  </w:num>
  <w:num w:numId="9">
    <w:abstractNumId w:val="14"/>
  </w:num>
  <w:num w:numId="10">
    <w:abstractNumId w:val="8"/>
  </w:num>
  <w:num w:numId="11">
    <w:abstractNumId w:val="25"/>
  </w:num>
  <w:num w:numId="12">
    <w:abstractNumId w:val="22"/>
  </w:num>
  <w:num w:numId="13">
    <w:abstractNumId w:val="13"/>
  </w:num>
  <w:num w:numId="14">
    <w:abstractNumId w:val="4"/>
  </w:num>
  <w:num w:numId="15">
    <w:abstractNumId w:val="7"/>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2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21"/>
  </w:num>
  <w:num w:numId="24">
    <w:abstractNumId w:val="6"/>
  </w:num>
  <w:num w:numId="25">
    <w:abstractNumId w:val="19"/>
  </w:num>
  <w:num w:numId="26">
    <w:abstractNumId w:val="20"/>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42C"/>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0719"/>
    <w:rsid w:val="00B50A52"/>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0FDF"/>
    <w:rsid w:val="00BF3307"/>
    <w:rsid w:val="00BF6FF4"/>
    <w:rsid w:val="00BF7E1D"/>
    <w:rsid w:val="00BF7E57"/>
    <w:rsid w:val="00C010EC"/>
    <w:rsid w:val="00C05FB2"/>
    <w:rsid w:val="00C0693B"/>
    <w:rsid w:val="00C072BA"/>
    <w:rsid w:val="00C07EDD"/>
    <w:rsid w:val="00C10060"/>
    <w:rsid w:val="00C16142"/>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0ACA"/>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3B39"/>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0DDA"/>
    <w:rsid w:val="00F675CC"/>
    <w:rsid w:val="00F7313A"/>
    <w:rsid w:val="00F74C58"/>
    <w:rsid w:val="00F80B1E"/>
    <w:rsid w:val="00F82FF8"/>
    <w:rsid w:val="00F85489"/>
    <w:rsid w:val="00F87FAF"/>
    <w:rsid w:val="00F90A10"/>
    <w:rsid w:val="00F966CB"/>
    <w:rsid w:val="00FA09A1"/>
    <w:rsid w:val="00FA526E"/>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99BFD317-448A-4ECB-8DD8-29520DCA6F02}"/>
</file>

<file path=customXml/itemProps2.xml><?xml version="1.0" encoding="utf-8"?>
<ds:datastoreItem xmlns:ds="http://schemas.openxmlformats.org/officeDocument/2006/customXml" ds:itemID="{60398B1F-925A-4B4F-835B-F37C37F0F1FD}"/>
</file>

<file path=customXml/itemProps3.xml><?xml version="1.0" encoding="utf-8"?>
<ds:datastoreItem xmlns:ds="http://schemas.openxmlformats.org/officeDocument/2006/customXml" ds:itemID="{8E288920-705D-4621-B19A-C625464CDD80}"/>
</file>

<file path=customXml/itemProps4.xml><?xml version="1.0" encoding="utf-8"?>
<ds:datastoreItem xmlns:ds="http://schemas.openxmlformats.org/officeDocument/2006/customXml" ds:itemID="{054E816D-CB84-4231-B324-E29175550ABA}"/>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10800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Shears metal</dc:title>
  <dc:creator>CLARK, Brian</dc:creator>
  <cp:keywords>DETE, Education Queensland</cp:keywords>
  <cp:lastModifiedBy>CULPEPPER, Kristyn</cp:lastModifiedBy>
  <cp:revision>3</cp:revision>
  <cp:lastPrinted>2018-06-15T00:17:00Z</cp:lastPrinted>
  <dcterms:created xsi:type="dcterms:W3CDTF">2018-06-20T02:11:00Z</dcterms:created>
  <dcterms:modified xsi:type="dcterms:W3CDTF">2018-06-20T23:07:00Z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