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348615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440897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NAIL GUN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4.45pt;margin-top:27.4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" filled="f" stroked="f">
                      <v:textbox>
                        <w:txbxContent>
                          <w:p w:rsidR="0040241D" w:rsidRPr="00FB1A06" w:rsidRDefault="00440897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NAIL GUN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D6367C">
        <w:trPr>
          <w:trHeight w:hRule="exact" w:val="746"/>
        </w:trPr>
        <w:tc>
          <w:tcPr>
            <w:tcW w:w="2485" w:type="pct"/>
            <w:vAlign w:val="center"/>
          </w:tcPr>
          <w:p w:rsidR="00B9730E" w:rsidRPr="001A5362" w:rsidRDefault="001B3AF5" w:rsidP="007A5BC1">
            <w:pPr>
              <w:spacing w:before="80"/>
              <w:rPr>
                <w:rFonts w:ascii="Arial" w:hAnsi="Arial" w:cs="Arial"/>
                <w:sz w:val="22"/>
                <w:szCs w:val="20"/>
              </w:rPr>
            </w:pPr>
            <w:r w:rsidRPr="001A5362">
              <w:rPr>
                <w:rFonts w:ascii="Arial" w:hAnsi="Arial" w:cs="Arial"/>
                <w:bCs/>
                <w:noProof/>
                <w:sz w:val="22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603455" r:id="rId10"/>
              </w:object>
            </w:r>
            <w:r w:rsidR="000368C7" w:rsidRPr="001A5362">
              <w:rPr>
                <w:rFonts w:ascii="Arial" w:hAnsi="Arial" w:cs="Arial"/>
                <w:bCs/>
                <w:sz w:val="22"/>
                <w:szCs w:val="20"/>
              </w:rPr>
              <w:t>Approved s</w:t>
            </w:r>
            <w:r w:rsidR="00B9730E" w:rsidRPr="001A5362">
              <w:rPr>
                <w:rFonts w:ascii="Arial" w:hAnsi="Arial" w:cs="Arial"/>
                <w:bCs/>
                <w:sz w:val="22"/>
                <w:szCs w:val="20"/>
              </w:rPr>
              <w:t>afety glasses</w:t>
            </w:r>
            <w:r w:rsidR="00B9730E" w:rsidRPr="001A5362">
              <w:rPr>
                <w:rFonts w:ascii="Arial" w:hAnsi="Arial" w:cs="Arial"/>
                <w:sz w:val="22"/>
                <w:szCs w:val="20"/>
              </w:rPr>
              <w:t xml:space="preserve"> must be worn at </w:t>
            </w:r>
            <w:r w:rsidR="00B9730E" w:rsidRPr="001A5362">
              <w:rPr>
                <w:rFonts w:ascii="Arial" w:hAnsi="Arial" w:cs="Arial"/>
                <w:bCs/>
                <w:sz w:val="22"/>
                <w:szCs w:val="20"/>
              </w:rPr>
              <w:t>all times in work areas.</w:t>
            </w:r>
          </w:p>
        </w:tc>
        <w:tc>
          <w:tcPr>
            <w:tcW w:w="2515" w:type="pct"/>
            <w:vAlign w:val="center"/>
          </w:tcPr>
          <w:p w:rsidR="00B9730E" w:rsidRPr="001A5362" w:rsidRDefault="00A2756A" w:rsidP="00C06D2E">
            <w:pPr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1A5362">
              <w:rPr>
                <w:rFonts w:ascii="Arial" w:hAnsi="Arial" w:cs="Arial"/>
                <w:b/>
                <w:noProof/>
                <w:sz w:val="22"/>
                <w:lang w:eastAsia="zh-TW"/>
              </w:rPr>
              <w:drawing>
                <wp:anchor distT="0" distB="0" distL="114300" distR="114300" simplePos="0" relativeHeight="251686400" behindDoc="0" locked="0" layoutInCell="1" allowOverlap="1">
                  <wp:simplePos x="3873096" y="1887042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5BC1" w:rsidRPr="001A5362">
              <w:rPr>
                <w:rFonts w:ascii="Arial" w:hAnsi="Arial" w:cs="Arial"/>
                <w:sz w:val="22"/>
                <w:szCs w:val="20"/>
              </w:rPr>
              <w:t xml:space="preserve">Long and loose hair </w:t>
            </w:r>
            <w:r w:rsidR="007A5BC1" w:rsidRPr="001A5362">
              <w:rPr>
                <w:rFonts w:ascii="Arial" w:hAnsi="Arial" w:cs="Arial"/>
                <w:i/>
                <w:sz w:val="22"/>
                <w:szCs w:val="20"/>
              </w:rPr>
              <w:t xml:space="preserve">must </w:t>
            </w:r>
            <w:r w:rsidR="007A5BC1" w:rsidRPr="001A5362">
              <w:rPr>
                <w:rFonts w:ascii="Arial" w:hAnsi="Arial" w:cs="Arial"/>
                <w:sz w:val="22"/>
                <w:szCs w:val="20"/>
              </w:rPr>
              <w:t>be contained or restrained.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1A5362" w:rsidRDefault="004D5F4F" w:rsidP="00C428BA">
            <w:pPr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1A5362">
              <w:rPr>
                <w:rFonts w:ascii="Arial" w:hAnsi="Arial" w:cs="Arial"/>
                <w:sz w:val="22"/>
                <w:szCs w:val="20"/>
              </w:rPr>
              <w:t xml:space="preserve">Appropriate </w:t>
            </w:r>
            <w:r w:rsidR="00FB1A06" w:rsidRPr="001A5362">
              <w:rPr>
                <w:rFonts w:ascii="Arial" w:hAnsi="Arial" w:cs="Arial"/>
                <w:sz w:val="22"/>
                <w:szCs w:val="20"/>
              </w:rPr>
              <w:t xml:space="preserve">protective </w:t>
            </w:r>
            <w:r w:rsidR="00C428BA" w:rsidRPr="001A5362">
              <w:rPr>
                <w:rFonts w:ascii="Arial" w:hAnsi="Arial" w:cs="Arial"/>
                <w:sz w:val="22"/>
                <w:szCs w:val="20"/>
              </w:rPr>
              <w:t>footwear with substantial uppers</w:t>
            </w:r>
            <w:r w:rsidR="005874D1" w:rsidRPr="001A5362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9730E" w:rsidRPr="001A5362">
              <w:rPr>
                <w:rFonts w:ascii="Arial" w:hAnsi="Arial" w:cs="Arial"/>
                <w:sz w:val="22"/>
                <w:szCs w:val="20"/>
              </w:rPr>
              <w:t>must be worn.</w:t>
            </w:r>
          </w:p>
        </w:tc>
        <w:tc>
          <w:tcPr>
            <w:tcW w:w="2515" w:type="pct"/>
            <w:vAlign w:val="center"/>
          </w:tcPr>
          <w:p w:rsidR="00B9730E" w:rsidRPr="001A5362" w:rsidRDefault="0065180D" w:rsidP="006A07E8">
            <w:pPr>
              <w:spacing w:before="80"/>
              <w:rPr>
                <w:rFonts w:ascii="Arial" w:hAnsi="Arial" w:cs="Arial"/>
                <w:sz w:val="22"/>
                <w:szCs w:val="20"/>
              </w:rPr>
            </w:pPr>
            <w:r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6D2E"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Wear close fitting protective clothing, overalls or a suitable workshop apron. </w:t>
            </w:r>
            <w:r w:rsidR="007A5BC1"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 </w:t>
            </w:r>
            <w:r w:rsidR="006A07E8" w:rsidRPr="001A5362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1A5362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5874D1" w:rsidTr="00D6367C">
        <w:trPr>
          <w:trHeight w:hRule="exact" w:val="740"/>
        </w:trPr>
        <w:tc>
          <w:tcPr>
            <w:tcW w:w="2485" w:type="pct"/>
            <w:vAlign w:val="center"/>
          </w:tcPr>
          <w:p w:rsidR="005874D1" w:rsidRPr="001A5362" w:rsidRDefault="007A5BC1" w:rsidP="009206CD">
            <w:pPr>
              <w:spacing w:before="120"/>
              <w:rPr>
                <w:rFonts w:ascii="Arial" w:hAnsi="Arial" w:cs="Arial"/>
                <w:noProof/>
                <w:sz w:val="22"/>
                <w:szCs w:val="20"/>
                <w:lang w:eastAsia="zh-TW"/>
              </w:rPr>
            </w:pPr>
            <w:r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drawing>
                <wp:anchor distT="0" distB="0" distL="114300" distR="114300" simplePos="0" relativeHeight="251689472" behindDoc="0" locked="0" layoutInCell="1" allowOverlap="1">
                  <wp:simplePos x="611541" y="2912102"/>
                  <wp:positionH relativeFrom="margin">
                    <wp:posOffset>-59690</wp:posOffset>
                  </wp:positionH>
                  <wp:positionV relativeFrom="margin">
                    <wp:posOffset>34925</wp:posOffset>
                  </wp:positionV>
                  <wp:extent cx="438785" cy="43878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5362">
              <w:rPr>
                <w:rFonts w:ascii="Arial" w:hAnsi="Arial" w:cs="Arial"/>
                <w:noProof/>
                <w:sz w:val="22"/>
                <w:szCs w:val="20"/>
              </w:rPr>
              <w:t xml:space="preserve">Rings and jewellery </w:t>
            </w:r>
            <w:r w:rsidR="009206CD" w:rsidRPr="001A5362">
              <w:rPr>
                <w:rFonts w:ascii="Arial" w:hAnsi="Arial" w:cs="Arial"/>
                <w:i/>
                <w:noProof/>
                <w:sz w:val="22"/>
                <w:szCs w:val="20"/>
              </w:rPr>
              <w:t>m</w:t>
            </w:r>
            <w:r w:rsidRPr="001A5362">
              <w:rPr>
                <w:rFonts w:ascii="Arial" w:hAnsi="Arial" w:cs="Arial"/>
                <w:i/>
                <w:noProof/>
                <w:sz w:val="22"/>
                <w:szCs w:val="20"/>
              </w:rPr>
              <w:t xml:space="preserve">ust not </w:t>
            </w:r>
            <w:r w:rsidRPr="001A5362">
              <w:rPr>
                <w:rFonts w:ascii="Arial" w:hAnsi="Arial" w:cs="Arial"/>
                <w:noProof/>
                <w:sz w:val="22"/>
                <w:szCs w:val="20"/>
              </w:rPr>
              <w:t xml:space="preserve">be </w:t>
            </w:r>
            <w:r w:rsidR="009206CD" w:rsidRPr="001A5362">
              <w:rPr>
                <w:rFonts w:ascii="Arial" w:hAnsi="Arial" w:cs="Arial"/>
                <w:noProof/>
                <w:sz w:val="22"/>
                <w:szCs w:val="20"/>
              </w:rPr>
              <w:t>worn</w:t>
            </w:r>
            <w:r w:rsidRPr="001A5362">
              <w:rPr>
                <w:rFonts w:ascii="Arial" w:hAnsi="Arial" w:cs="Arial"/>
                <w:noProof/>
                <w:sz w:val="22"/>
                <w:szCs w:val="20"/>
              </w:rPr>
              <w:t xml:space="preserve"> when using this portable power tool. </w:t>
            </w:r>
            <w:r w:rsidR="00C428BA"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 </w:t>
            </w:r>
          </w:p>
        </w:tc>
        <w:tc>
          <w:tcPr>
            <w:tcW w:w="2515" w:type="pct"/>
            <w:vAlign w:val="center"/>
          </w:tcPr>
          <w:p w:rsidR="005874D1" w:rsidRPr="001A5362" w:rsidRDefault="009206CD" w:rsidP="005874D1">
            <w:pPr>
              <w:spacing w:before="80"/>
              <w:rPr>
                <w:rFonts w:ascii="Arial" w:hAnsi="Arial" w:cs="Arial"/>
                <w:noProof/>
                <w:sz w:val="22"/>
                <w:szCs w:val="20"/>
                <w:lang w:eastAsia="zh-TW"/>
              </w:rPr>
            </w:pPr>
            <w:r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drawing>
                <wp:anchor distT="0" distB="0" distL="114300" distR="114300" simplePos="0" relativeHeight="251690496" behindDoc="0" locked="0" layoutInCell="1" allowOverlap="1">
                  <wp:simplePos x="3873096" y="2882981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96000" cy="396000"/>
                  <wp:effectExtent l="0" t="0" r="4445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5362">
              <w:rPr>
                <w:rFonts w:ascii="Arial" w:hAnsi="Arial" w:cs="Arial"/>
                <w:noProof/>
                <w:sz w:val="22"/>
                <w:szCs w:val="20"/>
              </w:rPr>
              <w:t>Hearing protection must be worn at all times when using this power tool.</w:t>
            </w:r>
            <w:r w:rsidR="007A5BC1" w:rsidRPr="001A5362">
              <w:rPr>
                <w:rFonts w:ascii="Arial" w:hAnsi="Arial" w:cs="Arial"/>
                <w:noProof/>
                <w:sz w:val="22"/>
                <w:szCs w:val="20"/>
              </w:rPr>
              <w:t xml:space="preserve"> </w:t>
            </w:r>
            <w:r w:rsidR="00A2756A" w:rsidRPr="001A5362">
              <w:rPr>
                <w:rFonts w:ascii="Arial" w:hAnsi="Arial" w:cs="Arial"/>
                <w:noProof/>
                <w:sz w:val="22"/>
                <w:szCs w:val="20"/>
                <w:lang w:eastAsia="zh-TW"/>
              </w:rPr>
              <w:t xml:space="preserve"> </w:t>
            </w:r>
            <w:r w:rsidR="005874D1" w:rsidRPr="001A5362">
              <w:rPr>
                <w:rFonts w:ascii="Arial" w:hAnsi="Arial" w:cs="Arial"/>
                <w:sz w:val="22"/>
                <w:szCs w:val="20"/>
              </w:rPr>
              <w:t xml:space="preserve"> 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5874D1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 w:rsidRPr="00D6367C">
        <w:rPr>
          <w:rFonts w:ascii="Arial" w:hAnsi="Arial" w:cs="Arial"/>
          <w:b/>
          <w:sz w:val="22"/>
          <w:szCs w:val="22"/>
        </w:rPr>
        <w:t>DO NOT use faulty equipment – report this immediately to your teacher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1B3AF5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7A5BC1" w:rsidRPr="001B3AF5" w:rsidRDefault="005874D1" w:rsidP="001B3A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Ensure </w:t>
      </w:r>
      <w:r w:rsidR="00C06D2E" w:rsidRPr="001B3AF5">
        <w:rPr>
          <w:rFonts w:ascii="Arial" w:hAnsi="Arial"/>
          <w:b/>
          <w:sz w:val="21"/>
          <w:szCs w:val="19"/>
        </w:rPr>
        <w:t>an appropriate exclusion zone when nailing.</w:t>
      </w:r>
    </w:p>
    <w:p w:rsidR="00C06D2E" w:rsidRPr="001B3AF5" w:rsidRDefault="00C06D2E" w:rsidP="001B3A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Ensure the actuation muzzle is serviceable and in place.</w:t>
      </w:r>
    </w:p>
    <w:p w:rsidR="00C06D2E" w:rsidRPr="001B3AF5" w:rsidRDefault="00C06D2E" w:rsidP="001B3A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Be aware of all departmental safety alerts for this equipment.</w:t>
      </w:r>
    </w:p>
    <w:p w:rsidR="009B10CB" w:rsidRPr="001B3AF5" w:rsidRDefault="00C06D2E" w:rsidP="00D636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Be aware (and very familiar with) the type of nail gun. </w:t>
      </w:r>
    </w:p>
    <w:p w:rsidR="009B10CB" w:rsidRPr="001B3AF5" w:rsidRDefault="009B10CB">
      <w:pPr>
        <w:pStyle w:val="Header"/>
        <w:tabs>
          <w:tab w:val="clear" w:pos="4153"/>
          <w:tab w:val="clear" w:pos="8306"/>
        </w:tabs>
        <w:rPr>
          <w:sz w:val="4"/>
          <w:szCs w:val="4"/>
          <w:lang w:val="en-US"/>
        </w:rPr>
      </w:pPr>
    </w:p>
    <w:p w:rsidR="009B10CB" w:rsidRPr="00D6367C" w:rsidRDefault="009B10CB" w:rsidP="001B3AF5">
      <w:pPr>
        <w:pStyle w:val="Heading4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Never attempt to operate this power tool if you are an inexperienced worker, without proper training.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The nail gun user and everyone working within the vicinity should be wearing safety glasses, protective footwear, and hearing protection. 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Be aware of others that may be working nearby.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Keep your finger off the trigger when not firing nails. The centre of gravity at the trigger makes it easy to accidentally fire the nail gun.</w:t>
      </w:r>
    </w:p>
    <w:p w:rsidR="007A5BC1" w:rsidRPr="001B3AF5" w:rsidRDefault="007A5BC1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 </w:t>
      </w:r>
      <w:r w:rsidR="00C06D2E" w:rsidRPr="001B3AF5">
        <w:rPr>
          <w:rFonts w:ascii="Arial" w:hAnsi="Arial"/>
          <w:b/>
          <w:sz w:val="21"/>
          <w:szCs w:val="19"/>
        </w:rPr>
        <w:t>Never use a nail gun with a missing push lever and muzzle safety spring (or safety yoke).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Be careful to always keep your hands and feet away from the muzzle of the nail gun.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Never use any part of your body to support the wood you are nailing.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Never rest the nail gun against any body part, or try to climb a ladder with the nail gun cradled against your body. Never point a nail gun at anyone.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Never use bottled gas to power air-powered nail guns.</w:t>
      </w:r>
    </w:p>
    <w:p w:rsidR="00C06D2E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Always disconnect the nail gun from its air or electrical power source before transporting, reloading or trying to free a jammed nail. </w:t>
      </w:r>
    </w:p>
    <w:p w:rsidR="009B10CB" w:rsidRPr="001B3AF5" w:rsidRDefault="00C06D2E" w:rsidP="001B3AF5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Never leave the nail gun unattended.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C06D2E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Students should never use a bump-fire nail gun</w:t>
            </w:r>
          </w:p>
        </w:tc>
      </w:tr>
    </w:tbl>
    <w:p w:rsidR="009B10CB" w:rsidRPr="001B3AF5" w:rsidRDefault="009B10CB">
      <w:pPr>
        <w:rPr>
          <w:sz w:val="4"/>
          <w:szCs w:val="4"/>
          <w:lang w:val="en-US"/>
        </w:rPr>
      </w:pPr>
    </w:p>
    <w:p w:rsidR="009B10CB" w:rsidRPr="00D6367C" w:rsidRDefault="009B10CB" w:rsidP="001B3A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0F721B" w:rsidRPr="001B3AF5" w:rsidRDefault="00C06D2E" w:rsidP="001B3AF5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Return this tool to the appropriate storage cupbo</w:t>
      </w:r>
      <w:bookmarkStart w:id="0" w:name="_GoBack"/>
      <w:bookmarkEnd w:id="0"/>
      <w:r w:rsidRPr="001B3AF5">
        <w:rPr>
          <w:rFonts w:ascii="Arial" w:hAnsi="Arial"/>
          <w:b/>
          <w:sz w:val="21"/>
          <w:szCs w:val="19"/>
        </w:rPr>
        <w:t>ard</w:t>
      </w:r>
      <w:r w:rsidR="00A2756A" w:rsidRPr="001B3AF5">
        <w:rPr>
          <w:rFonts w:ascii="Arial" w:hAnsi="Arial"/>
          <w:b/>
          <w:sz w:val="21"/>
          <w:szCs w:val="19"/>
        </w:rPr>
        <w:t>.</w:t>
      </w:r>
    </w:p>
    <w:p w:rsidR="00A2756A" w:rsidRPr="001B3AF5" w:rsidRDefault="00A2756A" w:rsidP="001B3AF5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Leave the work area in a safe, clean and tidy condition. </w:t>
      </w:r>
    </w:p>
    <w:p w:rsidR="00C06D2E" w:rsidRPr="001B3AF5" w:rsidRDefault="00C06D2E" w:rsidP="001B3AF5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Maintain correct operation of the actuation mechanism.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1B3AF5" w:rsidRDefault="009B10CB">
      <w:pPr>
        <w:pStyle w:val="Header"/>
        <w:rPr>
          <w:sz w:val="4"/>
          <w:szCs w:val="8"/>
        </w:rPr>
      </w:pPr>
    </w:p>
    <w:p w:rsidR="009B10CB" w:rsidRPr="00D6367C" w:rsidRDefault="009B10CB" w:rsidP="001B3AF5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1B3AF5" w:rsidRDefault="000F721B" w:rsidP="001B3AF5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>Moving, sharp p</w:t>
      </w:r>
      <w:r w:rsidR="00C06D2E" w:rsidRPr="001B3AF5">
        <w:rPr>
          <w:rFonts w:ascii="Arial" w:hAnsi="Arial"/>
          <w:b/>
          <w:sz w:val="21"/>
          <w:szCs w:val="19"/>
        </w:rPr>
        <w:t xml:space="preserve">rojectiles             </w:t>
      </w:r>
      <w:r w:rsidR="00BD2016" w:rsidRPr="001B3AF5">
        <w:rPr>
          <w:rFonts w:ascii="Arial" w:hAnsi="Arial"/>
          <w:b/>
          <w:sz w:val="21"/>
          <w:szCs w:val="19"/>
        </w:rPr>
        <w:t xml:space="preserve">   </w:t>
      </w:r>
      <w:r w:rsidR="0065180D" w:rsidRPr="001B3AF5">
        <w:rPr>
          <w:rFonts w:ascii="Arial" w:hAnsi="Arial"/>
          <w:b/>
          <w:sz w:val="21"/>
          <w:szCs w:val="19"/>
        </w:rPr>
        <w:t xml:space="preserve">   </w:t>
      </w:r>
      <w:r w:rsidR="003E694A" w:rsidRPr="001B3AF5">
        <w:rPr>
          <w:rFonts w:ascii="Arial" w:hAnsi="Arial"/>
          <w:b/>
          <w:sz w:val="21"/>
          <w:szCs w:val="19"/>
        </w:rPr>
        <w:t xml:space="preserve"> </w:t>
      </w:r>
      <w:r w:rsidR="0065180D" w:rsidRPr="001B3AF5">
        <w:rPr>
          <w:rFonts w:ascii="Arial" w:hAnsi="Arial"/>
          <w:b/>
          <w:sz w:val="21"/>
          <w:szCs w:val="19"/>
        </w:rPr>
        <w:t xml:space="preserve"> </w:t>
      </w:r>
      <w:r w:rsidRPr="001B3AF5">
        <w:rPr>
          <w:rFonts w:ascii="Arial" w:hAnsi="Arial"/>
          <w:b/>
          <w:sz w:val="21"/>
          <w:szCs w:val="19"/>
        </w:rPr>
        <w:t xml:space="preserve">      </w:t>
      </w:r>
      <w:r w:rsidR="009B10CB" w:rsidRPr="001B3AF5">
        <w:rPr>
          <w:rFonts w:ascii="Arial" w:hAnsi="Arial"/>
          <w:b/>
          <w:sz w:val="21"/>
          <w:szCs w:val="19"/>
        </w:rPr>
        <w:sym w:font="Wingdings" w:char="F06E"/>
      </w:r>
      <w:r w:rsidR="00BD2016" w:rsidRPr="001B3AF5">
        <w:rPr>
          <w:rFonts w:ascii="Arial" w:hAnsi="Arial"/>
          <w:b/>
          <w:sz w:val="21"/>
          <w:szCs w:val="19"/>
        </w:rPr>
        <w:t xml:space="preserve">  </w:t>
      </w:r>
      <w:r w:rsidR="00C06D2E" w:rsidRPr="001B3AF5">
        <w:rPr>
          <w:rFonts w:ascii="Arial" w:hAnsi="Arial"/>
          <w:b/>
          <w:sz w:val="21"/>
          <w:szCs w:val="19"/>
        </w:rPr>
        <w:t>Pinch and squash</w:t>
      </w:r>
      <w:r w:rsidR="00D13BE2" w:rsidRPr="001B3AF5">
        <w:rPr>
          <w:rFonts w:ascii="Arial" w:hAnsi="Arial"/>
          <w:b/>
          <w:sz w:val="21"/>
          <w:szCs w:val="19"/>
        </w:rPr>
        <w:t xml:space="preserve">    </w:t>
      </w:r>
      <w:r w:rsidR="003E694A" w:rsidRPr="001B3AF5">
        <w:rPr>
          <w:rFonts w:ascii="Arial" w:hAnsi="Arial"/>
          <w:b/>
          <w:sz w:val="21"/>
          <w:szCs w:val="19"/>
        </w:rPr>
        <w:t xml:space="preserve">  </w:t>
      </w:r>
      <w:r w:rsidR="00DF1D84" w:rsidRPr="001B3AF5">
        <w:rPr>
          <w:rFonts w:ascii="Arial" w:hAnsi="Arial"/>
          <w:b/>
          <w:sz w:val="21"/>
          <w:szCs w:val="19"/>
        </w:rPr>
        <w:t xml:space="preserve">              </w:t>
      </w:r>
      <w:r w:rsidR="00D13BE2" w:rsidRPr="001B3AF5">
        <w:rPr>
          <w:rFonts w:ascii="Arial" w:hAnsi="Arial"/>
          <w:b/>
          <w:sz w:val="21"/>
          <w:szCs w:val="19"/>
        </w:rPr>
        <w:t xml:space="preserve">       </w:t>
      </w:r>
      <w:r w:rsidR="00852C26" w:rsidRPr="001B3AF5">
        <w:rPr>
          <w:rFonts w:ascii="Arial" w:hAnsi="Arial"/>
          <w:b/>
          <w:sz w:val="21"/>
          <w:szCs w:val="19"/>
        </w:rPr>
        <w:t xml:space="preserve"> </w:t>
      </w:r>
      <w:r w:rsidR="003E694A" w:rsidRPr="001B3AF5">
        <w:rPr>
          <w:rFonts w:ascii="Arial" w:hAnsi="Arial"/>
          <w:b/>
          <w:sz w:val="21"/>
          <w:szCs w:val="19"/>
        </w:rPr>
        <w:sym w:font="Wingdings" w:char="F06E"/>
      </w:r>
      <w:r w:rsidR="003E694A" w:rsidRPr="001B3AF5">
        <w:rPr>
          <w:rFonts w:ascii="Arial" w:hAnsi="Arial"/>
          <w:b/>
          <w:sz w:val="21"/>
          <w:szCs w:val="19"/>
        </w:rPr>
        <w:t xml:space="preserve">  </w:t>
      </w:r>
      <w:r w:rsidR="00C06D2E" w:rsidRPr="001B3AF5">
        <w:rPr>
          <w:rFonts w:ascii="Arial" w:hAnsi="Arial"/>
          <w:b/>
          <w:sz w:val="21"/>
          <w:szCs w:val="19"/>
        </w:rPr>
        <w:t>Noise</w:t>
      </w:r>
      <w:r w:rsidR="003E694A" w:rsidRPr="001B3AF5">
        <w:rPr>
          <w:rFonts w:ascii="Arial" w:hAnsi="Arial"/>
          <w:b/>
          <w:sz w:val="21"/>
          <w:szCs w:val="19"/>
        </w:rPr>
        <w:tab/>
        <w:t xml:space="preserve">                    </w:t>
      </w:r>
      <w:r w:rsidR="0063137C" w:rsidRPr="001B3AF5">
        <w:rPr>
          <w:rFonts w:ascii="Arial" w:hAnsi="Arial"/>
          <w:b/>
          <w:sz w:val="21"/>
          <w:szCs w:val="19"/>
        </w:rPr>
        <w:t xml:space="preserve">         </w:t>
      </w:r>
      <w:r w:rsidR="009B10CB" w:rsidRPr="001B3AF5">
        <w:rPr>
          <w:rFonts w:ascii="Arial" w:hAnsi="Arial"/>
          <w:b/>
          <w:sz w:val="21"/>
          <w:szCs w:val="19"/>
        </w:rPr>
        <w:t xml:space="preserve"> </w:t>
      </w:r>
      <w:r w:rsidR="00BD2016" w:rsidRPr="001B3AF5">
        <w:rPr>
          <w:rFonts w:ascii="Arial" w:hAnsi="Arial"/>
          <w:b/>
          <w:sz w:val="21"/>
          <w:szCs w:val="19"/>
        </w:rPr>
        <w:t xml:space="preserve">     </w:t>
      </w:r>
    </w:p>
    <w:p w:rsidR="007A5BC1" w:rsidRPr="001B3AF5" w:rsidRDefault="00C06D2E" w:rsidP="001B3AF5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b/>
          <w:sz w:val="21"/>
          <w:szCs w:val="19"/>
        </w:rPr>
        <w:t xml:space="preserve">Compressed air                                           </w:t>
      </w:r>
      <w:r w:rsidR="004F12F1" w:rsidRPr="001B3AF5">
        <w:rPr>
          <w:rFonts w:ascii="Arial" w:hAnsi="Arial"/>
          <w:b/>
          <w:sz w:val="21"/>
          <w:szCs w:val="19"/>
        </w:rPr>
        <w:sym w:font="Wingdings" w:char="F06E"/>
      </w:r>
      <w:r w:rsidR="004F12F1" w:rsidRPr="001B3AF5">
        <w:rPr>
          <w:rFonts w:ascii="Arial" w:hAnsi="Arial"/>
          <w:b/>
          <w:sz w:val="21"/>
          <w:szCs w:val="19"/>
        </w:rPr>
        <w:t xml:space="preserve">  </w:t>
      </w:r>
      <w:r w:rsidRPr="001B3AF5">
        <w:rPr>
          <w:rFonts w:ascii="Arial" w:hAnsi="Arial"/>
          <w:b/>
          <w:sz w:val="21"/>
          <w:szCs w:val="19"/>
        </w:rPr>
        <w:t xml:space="preserve">Eye injuries                 </w:t>
      </w:r>
      <w:r w:rsidR="00D13BE2" w:rsidRPr="001B3AF5">
        <w:rPr>
          <w:rFonts w:ascii="Arial" w:hAnsi="Arial"/>
          <w:b/>
          <w:sz w:val="21"/>
          <w:szCs w:val="19"/>
        </w:rPr>
        <w:t xml:space="preserve">        </w:t>
      </w:r>
      <w:r w:rsidR="000F721B" w:rsidRPr="001B3AF5">
        <w:rPr>
          <w:rFonts w:ascii="Arial" w:hAnsi="Arial"/>
          <w:b/>
          <w:sz w:val="21"/>
          <w:szCs w:val="19"/>
        </w:rPr>
        <w:t xml:space="preserve"> </w:t>
      </w:r>
      <w:r w:rsidR="00DF1D84" w:rsidRPr="001B3AF5">
        <w:rPr>
          <w:rFonts w:ascii="Arial" w:hAnsi="Arial"/>
          <w:b/>
          <w:sz w:val="21"/>
          <w:szCs w:val="19"/>
        </w:rPr>
        <w:t xml:space="preserve">             </w:t>
      </w:r>
      <w:r w:rsidR="00DF1D84" w:rsidRPr="001B3AF5">
        <w:rPr>
          <w:rFonts w:ascii="Arial" w:hAnsi="Arial"/>
          <w:b/>
          <w:sz w:val="21"/>
          <w:szCs w:val="19"/>
        </w:rPr>
        <w:sym w:font="Wingdings" w:char="F06E"/>
      </w:r>
      <w:r w:rsidR="00DF1D84" w:rsidRPr="001B3AF5">
        <w:rPr>
          <w:rFonts w:ascii="Arial" w:hAnsi="Arial"/>
          <w:b/>
          <w:sz w:val="21"/>
          <w:szCs w:val="19"/>
        </w:rPr>
        <w:t xml:space="preserve">  </w:t>
      </w:r>
      <w:r w:rsidRPr="001B3AF5">
        <w:rPr>
          <w:rFonts w:ascii="Arial" w:hAnsi="Arial"/>
          <w:b/>
          <w:sz w:val="21"/>
          <w:szCs w:val="19"/>
        </w:rPr>
        <w:t>Slip and trip</w:t>
      </w:r>
      <w:r w:rsidR="0065180D" w:rsidRPr="001B3AF5">
        <w:rPr>
          <w:rFonts w:ascii="Arial" w:hAnsi="Arial"/>
          <w:b/>
          <w:sz w:val="21"/>
          <w:szCs w:val="19"/>
        </w:rPr>
        <w:t xml:space="preserve"> </w:t>
      </w:r>
    </w:p>
    <w:p w:rsidR="009B10CB" w:rsidRPr="001B3AF5" w:rsidRDefault="00400E23" w:rsidP="001B3AF5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1B3AF5">
        <w:rPr>
          <w:rFonts w:ascii="Arial" w:hAnsi="Arial"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0;margin-top:23.4pt;width:501.7pt;height:23.6pt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D2E" w:rsidRPr="001B3AF5">
        <w:rPr>
          <w:rFonts w:ascii="Arial" w:hAnsi="Arial"/>
          <w:b/>
          <w:sz w:val="21"/>
          <w:szCs w:val="19"/>
        </w:rPr>
        <w:t>Flammable gases (some models only)</w:t>
      </w:r>
    </w:p>
    <w:sectPr w:rsidR="009B10CB" w:rsidRPr="001B3AF5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F721B"/>
    <w:rsid w:val="001A5362"/>
    <w:rsid w:val="001B3AF5"/>
    <w:rsid w:val="002100E9"/>
    <w:rsid w:val="00210924"/>
    <w:rsid w:val="00236874"/>
    <w:rsid w:val="002B7735"/>
    <w:rsid w:val="002C7644"/>
    <w:rsid w:val="002F297D"/>
    <w:rsid w:val="0036298C"/>
    <w:rsid w:val="003D2C1E"/>
    <w:rsid w:val="003E3FB2"/>
    <w:rsid w:val="003E694A"/>
    <w:rsid w:val="00400E23"/>
    <w:rsid w:val="0040241D"/>
    <w:rsid w:val="00432CEC"/>
    <w:rsid w:val="00440897"/>
    <w:rsid w:val="004B68B3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63137C"/>
    <w:rsid w:val="0065180D"/>
    <w:rsid w:val="006657AD"/>
    <w:rsid w:val="00666EA3"/>
    <w:rsid w:val="006A07E8"/>
    <w:rsid w:val="006A0D69"/>
    <w:rsid w:val="00722588"/>
    <w:rsid w:val="00740C1B"/>
    <w:rsid w:val="00745CF7"/>
    <w:rsid w:val="007847C3"/>
    <w:rsid w:val="007A5B67"/>
    <w:rsid w:val="007A5BC1"/>
    <w:rsid w:val="007B531E"/>
    <w:rsid w:val="00816522"/>
    <w:rsid w:val="00852C26"/>
    <w:rsid w:val="00871E69"/>
    <w:rsid w:val="008B445A"/>
    <w:rsid w:val="008C208B"/>
    <w:rsid w:val="00901C60"/>
    <w:rsid w:val="00910662"/>
    <w:rsid w:val="009206CD"/>
    <w:rsid w:val="009346CC"/>
    <w:rsid w:val="009B10CB"/>
    <w:rsid w:val="009D0414"/>
    <w:rsid w:val="00A02EF0"/>
    <w:rsid w:val="00A178DB"/>
    <w:rsid w:val="00A2756A"/>
    <w:rsid w:val="00A67EA2"/>
    <w:rsid w:val="00A77C63"/>
    <w:rsid w:val="00B71248"/>
    <w:rsid w:val="00B9730E"/>
    <w:rsid w:val="00BA05CA"/>
    <w:rsid w:val="00BB1A2F"/>
    <w:rsid w:val="00BD2016"/>
    <w:rsid w:val="00BD6164"/>
    <w:rsid w:val="00C06D2E"/>
    <w:rsid w:val="00C428BA"/>
    <w:rsid w:val="00D13BE2"/>
    <w:rsid w:val="00D3351A"/>
    <w:rsid w:val="00D340AE"/>
    <w:rsid w:val="00D6367C"/>
    <w:rsid w:val="00D93687"/>
    <w:rsid w:val="00DF1D84"/>
    <w:rsid w:val="00DF7B11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D01C15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F6EEC42B-3C34-4132-A522-0FE24A3F0764}"/>
</file>

<file path=customXml/itemProps2.xml><?xml version="1.0" encoding="utf-8"?>
<ds:datastoreItem xmlns:ds="http://schemas.openxmlformats.org/officeDocument/2006/customXml" ds:itemID="{A91FF28D-E42F-4F46-8209-2E32C8057C2D}"/>
</file>

<file path=customXml/itemProps3.xml><?xml version="1.0" encoding="utf-8"?>
<ds:datastoreItem xmlns:ds="http://schemas.openxmlformats.org/officeDocument/2006/customXml" ds:itemID="{7F27F6BA-A39D-4D11-8B36-B931B37FE4AD}"/>
</file>

<file path=customXml/itemProps4.xml><?xml version="1.0" encoding="utf-8"?>
<ds:datastoreItem xmlns:ds="http://schemas.openxmlformats.org/officeDocument/2006/customXml" ds:itemID="{0B19C021-A732-443A-99F6-C66E444289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409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Nail gun</dc:title>
  <dc:subject/>
  <dc:creator>COOPER, Philip;CLARK, Brian</dc:creator>
  <cp:keywords>DETE, Education Queensland</cp:keywords>
  <cp:lastModifiedBy>OVERETT, Sophie</cp:lastModifiedBy>
  <cp:revision>6</cp:revision>
  <cp:lastPrinted>2012-01-05T01:06:00Z</cp:lastPrinted>
  <dcterms:created xsi:type="dcterms:W3CDTF">2018-08-17T03:33:00Z</dcterms:created>
  <dcterms:modified xsi:type="dcterms:W3CDTF">2018-08-23T22:11:00Z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