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328295</wp:posOffset>
                      </wp:positionV>
                      <wp:extent cx="4404995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499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2726BE" w:rsidRDefault="006C7CB9" w:rsidP="006C7CB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WOOD LATHE – DISC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147.55pt;margin-top:25.85pt;width:346.8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" stroked="f">
                      <v:fill opacity="0"/>
                      <v:textbox>
                        <w:txbxContent>
                          <w:p w:rsidR="004553E2" w:rsidRPr="002726BE" w:rsidRDefault="006C7CB9" w:rsidP="006C7CB9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WOOD LATHE – DISC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9D5DF8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4442077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2726BE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26BE">
              <w:rPr>
                <w:rFonts w:ascii="Arial" w:hAnsi="Arial" w:cs="Arial"/>
                <w:sz w:val="25"/>
                <w:szCs w:val="25"/>
              </w:rPr>
              <w:t xml:space="preserve">Close fitting, protective clothing or a workshop apron is encouraged. </w:t>
            </w:r>
          </w:p>
        </w:tc>
      </w:tr>
      <w:tr w:rsidR="004553E2" w:rsidTr="002726BE">
        <w:trPr>
          <w:trHeight w:hRule="exact" w:val="962"/>
        </w:trPr>
        <w:tc>
          <w:tcPr>
            <w:tcW w:w="2511" w:type="pct"/>
            <w:vAlign w:val="center"/>
          </w:tcPr>
          <w:p w:rsidR="004553E2" w:rsidRDefault="00723A44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4" name="Picture 3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  <w:p w:rsidR="00753AF5" w:rsidRDefault="00753AF5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489" w:type="pct"/>
            <w:vAlign w:val="center"/>
          </w:tcPr>
          <w:p w:rsidR="00753AF5" w:rsidRPr="00F80D83" w:rsidRDefault="006C7CB9" w:rsidP="00A84B50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8992" behindDoc="1" locked="0" layoutInCell="1" allowOverlap="1" wp14:anchorId="4DDB0CAC" wp14:editId="67820FCD">
                  <wp:simplePos x="0" y="0"/>
                  <wp:positionH relativeFrom="column">
                    <wp:posOffset>-488950</wp:posOffset>
                  </wp:positionH>
                  <wp:positionV relativeFrom="paragraph">
                    <wp:posOffset>-95885</wp:posOffset>
                  </wp:positionV>
                  <wp:extent cx="478790" cy="501015"/>
                  <wp:effectExtent l="0" t="0" r="0" b="0"/>
                  <wp:wrapTight wrapText="bothSides">
                    <wp:wrapPolygon edited="0">
                      <wp:start x="0" y="0"/>
                      <wp:lineTo x="0" y="20532"/>
                      <wp:lineTo x="20626" y="20532"/>
                      <wp:lineTo x="20626" y="0"/>
                      <wp:lineTo x="0" y="0"/>
                    </wp:wrapPolygon>
                  </wp:wrapTight>
                  <wp:docPr id="28" name="Picture 18" descr="Description: 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A mask must be worn when excessive airborne dust is created</w:t>
            </w:r>
            <w:r w:rsidR="00A84B50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F84901" w:rsidTr="00F84901">
        <w:trPr>
          <w:trHeight w:hRule="exact" w:val="962"/>
        </w:trPr>
        <w:tc>
          <w:tcPr>
            <w:tcW w:w="5000" w:type="pct"/>
            <w:gridSpan w:val="2"/>
            <w:vAlign w:val="center"/>
          </w:tcPr>
          <w:p w:rsidR="00F84901" w:rsidRPr="00F84901" w:rsidRDefault="00F84901" w:rsidP="00A84B50">
            <w:pPr>
              <w:pStyle w:val="Heading3"/>
              <w:shd w:val="clear" w:color="auto" w:fill="FFCC00"/>
              <w:ind w:left="-142" w:right="-86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Only one person may operate this machine at any one time.</w:t>
            </w:r>
          </w:p>
        </w:tc>
      </w:tr>
    </w:tbl>
    <w:p w:rsidR="00F84901" w:rsidRPr="00F84901" w:rsidRDefault="0053374D" w:rsidP="00F84901">
      <w:pPr>
        <w:pStyle w:val="Heading3"/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6C7CB9" w:rsidRPr="006C7CB9" w:rsidRDefault="006C7CB9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Workpiece must be securely fastened to a faceplate, or held between centres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6C7CB9" w:rsidRPr="006C7CB9" w:rsidRDefault="006C7CB9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Make adjustments to rotational speed to suit the intended machining operation. </w:t>
      </w:r>
    </w:p>
    <w:p w:rsidR="006C7CB9" w:rsidRPr="006C7CB9" w:rsidRDefault="006C7CB9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Rotate the workpiece by hand to check clearances between the stock, the tool rest, and bed.</w:t>
      </w:r>
    </w:p>
    <w:p w:rsidR="006C7CB9" w:rsidRPr="006C7CB9" w:rsidRDefault="006C7CB9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Ensure that all the wood turning tools are sharp and in good condition.</w:t>
      </w:r>
    </w:p>
    <w:p w:rsidR="00A84B50" w:rsidRPr="00A84B50" w:rsidRDefault="006C7CB9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>Check all stock to be turned for any defects, loose knots and foreign matter such as nails, etc.</w:t>
      </w:r>
      <w:r w:rsidR="00A84B50">
        <w:rPr>
          <w:rFonts w:ascii="Arial" w:hAnsi="Arial"/>
          <w:b/>
          <w:sz w:val="22"/>
          <w:szCs w:val="22"/>
        </w:rPr>
        <w:t xml:space="preserve">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A84B50" w:rsidRDefault="00A84B5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Both components of this combination machine should NOT, where possible, be operated simultaneously</w:t>
      </w:r>
      <w:r w:rsidR="000753FA">
        <w:rPr>
          <w:rFonts w:ascii="Arial" w:hAnsi="Arial"/>
          <w:b/>
          <w:sz w:val="22"/>
          <w:szCs w:val="22"/>
        </w:rPr>
        <w:t>.</w:t>
      </w:r>
      <w:r w:rsidR="006C7CB9">
        <w:rPr>
          <w:rFonts w:ascii="Arial" w:hAnsi="Arial"/>
          <w:b/>
          <w:sz w:val="22"/>
          <w:szCs w:val="22"/>
        </w:rPr>
        <w:t xml:space="preserve"> The small sanding disc fitted at the head stock of the lathe is more exposed and inherently more dangerous than a standard sanding disc.</w:t>
      </w:r>
    </w:p>
    <w:p w:rsidR="006C7CB9" w:rsidRDefault="006C7CB9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Lock and secure all adjustable parts, including the tail stock, tool rest and sanding table rest</w:t>
      </w:r>
      <w:r w:rsidR="00A84B50">
        <w:rPr>
          <w:rFonts w:ascii="Arial" w:hAnsi="Arial"/>
          <w:b/>
          <w:sz w:val="22"/>
          <w:szCs w:val="22"/>
        </w:rPr>
        <w:t>.</w:t>
      </w:r>
    </w:p>
    <w:p w:rsidR="006C7CB9" w:rsidRDefault="006C7CB9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Select the correct rotational speed to suit the diameter of the stock and the particular turning operation. Proficient disc sanding will also be subject to the correct disc speed. </w:t>
      </w:r>
    </w:p>
    <w:p w:rsidR="006C7CB9" w:rsidRDefault="006C7CB9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When turning, never attempt to sand turned stock while the tool rest is still in position.</w:t>
      </w:r>
    </w:p>
    <w:p w:rsidR="006C7CB9" w:rsidRDefault="006C7CB9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attempt to sweep away waste materials or wood dusts while the machine is running. </w:t>
      </w:r>
    </w:p>
    <w:p w:rsidR="00753AF5" w:rsidRDefault="006C7CB9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leave the machine running while unattended. </w:t>
      </w:r>
      <w:r w:rsidR="00A84B50">
        <w:rPr>
          <w:rFonts w:ascii="Arial" w:hAnsi="Arial"/>
          <w:b/>
          <w:sz w:val="22"/>
          <w:szCs w:val="22"/>
        </w:rPr>
        <w:t xml:space="preserve"> </w:t>
      </w:r>
      <w:r w:rsidR="000753FA">
        <w:rPr>
          <w:rFonts w:ascii="Arial" w:hAnsi="Arial"/>
          <w:b/>
          <w:sz w:val="22"/>
          <w:szCs w:val="22"/>
        </w:rPr>
        <w:t xml:space="preserve">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A84B50" w:rsidRDefault="006C7CB9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On completion of the job, turn off the isolation switch and leave the lathe and floor area in a safe, clean and tidy state. </w:t>
      </w:r>
    </w:p>
    <w:p w:rsidR="00384CCE" w:rsidRDefault="00A84B50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Make sure good housekeeping practices are in place to minimise dust/waste build-up.</w:t>
      </w:r>
      <w:r w:rsidR="00384CCE">
        <w:rPr>
          <w:rFonts w:ascii="Arial" w:hAnsi="Arial"/>
          <w:b/>
          <w:sz w:val="22"/>
          <w:szCs w:val="22"/>
        </w:rPr>
        <w:t xml:space="preserve">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0753FA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>Exposure to moving</w:t>
      </w:r>
      <w:r w:rsidR="006C7CB9">
        <w:rPr>
          <w:rFonts w:cs="Times New Roman"/>
          <w:color w:val="auto"/>
          <w:sz w:val="24"/>
        </w:rPr>
        <w:t xml:space="preserve"> </w:t>
      </w:r>
      <w:r w:rsidR="000753FA">
        <w:rPr>
          <w:rFonts w:cs="Times New Roman"/>
          <w:color w:val="auto"/>
          <w:sz w:val="24"/>
        </w:rPr>
        <w:t xml:space="preserve">and rotating </w:t>
      </w:r>
      <w:r w:rsidR="0038252C">
        <w:rPr>
          <w:rFonts w:cs="Times New Roman"/>
          <w:color w:val="auto"/>
          <w:sz w:val="24"/>
        </w:rPr>
        <w:t>parts</w:t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 w:rsidR="009D5DF8">
        <w:rPr>
          <w:rFonts w:cs="Times New Roman"/>
          <w:color w:val="auto"/>
          <w:sz w:val="24"/>
        </w:rPr>
        <w:tab/>
      </w:r>
      <w:r w:rsidR="009D5DF8">
        <w:rPr>
          <w:rFonts w:cs="Times New Roman"/>
          <w:color w:val="auto"/>
          <w:sz w:val="24"/>
        </w:rPr>
        <w:tab/>
      </w:r>
      <w:bookmarkStart w:id="0" w:name="_GoBack"/>
      <w:bookmarkEnd w:id="0"/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>Pinch and squash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</w:p>
    <w:p w:rsidR="000753FA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>Ejected waste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sym w:font="Wingdings" w:char="006E"/>
      </w:r>
      <w:r w:rsidR="00A64B1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>Wood dust</w:t>
      </w:r>
      <w:r w:rsidR="000753FA">
        <w:rPr>
          <w:rFonts w:cs="Times New Roman"/>
          <w:color w:val="auto"/>
          <w:sz w:val="24"/>
        </w:rPr>
        <w:tab/>
      </w:r>
      <w:r w:rsidR="000753FA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 xml:space="preserve"> 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38252C">
        <w:rPr>
          <w:rFonts w:cs="Times New Roman"/>
          <w:color w:val="auto"/>
          <w:sz w:val="24"/>
        </w:rPr>
        <w:t>Eye injuries</w:t>
      </w:r>
      <w:r w:rsidR="00384CCE">
        <w:rPr>
          <w:rFonts w:cs="Times New Roman"/>
          <w:color w:val="auto"/>
          <w:sz w:val="24"/>
        </w:rPr>
        <w:tab/>
      </w:r>
    </w:p>
    <w:p w:rsidR="00FF62E2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6C7CB9">
        <w:rPr>
          <w:rFonts w:cs="Times New Roman"/>
          <w:color w:val="auto"/>
          <w:sz w:val="24"/>
        </w:rPr>
        <w:t>Entanglement</w:t>
      </w:r>
      <w:r w:rsidR="006C7CB9">
        <w:rPr>
          <w:rFonts w:cs="Times New Roman"/>
          <w:color w:val="auto"/>
          <w:sz w:val="24"/>
        </w:rPr>
        <w:tab/>
      </w:r>
      <w:r w:rsidR="006C7CB9">
        <w:rPr>
          <w:rFonts w:cs="Times New Roman"/>
          <w:color w:val="auto"/>
          <w:sz w:val="24"/>
        </w:rPr>
        <w:tab/>
      </w:r>
      <w:r w:rsidR="006C7CB9">
        <w:rPr>
          <w:rFonts w:cs="Times New Roman"/>
          <w:color w:val="auto"/>
          <w:sz w:val="24"/>
        </w:rPr>
        <w:tab/>
      </w:r>
      <w:r w:rsidR="006C7CB9">
        <w:rPr>
          <w:rFonts w:cs="Times New Roman"/>
          <w:color w:val="auto"/>
          <w:sz w:val="24"/>
        </w:rPr>
        <w:tab/>
      </w:r>
      <w:r w:rsidR="006C7CB9">
        <w:rPr>
          <w:rFonts w:cs="Times New Roman"/>
          <w:color w:val="auto"/>
          <w:sz w:val="24"/>
        </w:rPr>
        <w:sym w:font="Wingdings" w:char="F06E"/>
      </w:r>
      <w:r w:rsidR="006C7CB9">
        <w:rPr>
          <w:rFonts w:cs="Times New Roman"/>
          <w:color w:val="auto"/>
          <w:sz w:val="24"/>
        </w:rPr>
        <w:tab/>
        <w:t>Splinters</w:t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825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 2018 V5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8252C">
                        <w:rPr>
                          <w:rFonts w:ascii="Arial" w:hAnsi="Arial" w:cs="Arial"/>
                          <w:sz w:val="16"/>
                          <w:szCs w:val="16"/>
                        </w:rPr>
                        <w:t>July 2018 V5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7407C4B"/>
    <w:multiLevelType w:val="hybridMultilevel"/>
    <w:tmpl w:val="9582375A"/>
    <w:lvl w:ilvl="0" w:tplc="EBA6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0753FA"/>
    <w:rsid w:val="001B0B9F"/>
    <w:rsid w:val="001F2FED"/>
    <w:rsid w:val="002726BE"/>
    <w:rsid w:val="00292DC7"/>
    <w:rsid w:val="00334250"/>
    <w:rsid w:val="00335995"/>
    <w:rsid w:val="00367FA8"/>
    <w:rsid w:val="0038252C"/>
    <w:rsid w:val="00383246"/>
    <w:rsid w:val="00384CCE"/>
    <w:rsid w:val="003930AD"/>
    <w:rsid w:val="003D62A7"/>
    <w:rsid w:val="004207DC"/>
    <w:rsid w:val="00451542"/>
    <w:rsid w:val="004553E2"/>
    <w:rsid w:val="00457D77"/>
    <w:rsid w:val="0053374D"/>
    <w:rsid w:val="005374BB"/>
    <w:rsid w:val="00583135"/>
    <w:rsid w:val="00587749"/>
    <w:rsid w:val="005C0A02"/>
    <w:rsid w:val="00621FEA"/>
    <w:rsid w:val="006A6263"/>
    <w:rsid w:val="006C3BAB"/>
    <w:rsid w:val="006C7CB9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75FF0"/>
    <w:rsid w:val="009866D3"/>
    <w:rsid w:val="009D5DF8"/>
    <w:rsid w:val="00A1137D"/>
    <w:rsid w:val="00A25599"/>
    <w:rsid w:val="00A64B1A"/>
    <w:rsid w:val="00A84B50"/>
    <w:rsid w:val="00A944C4"/>
    <w:rsid w:val="00B05A23"/>
    <w:rsid w:val="00B32552"/>
    <w:rsid w:val="00C57F18"/>
    <w:rsid w:val="00CB140B"/>
    <w:rsid w:val="00CB704B"/>
    <w:rsid w:val="00CC7FA1"/>
    <w:rsid w:val="00CE1F6D"/>
    <w:rsid w:val="00D76984"/>
    <w:rsid w:val="00D83A2B"/>
    <w:rsid w:val="00D95005"/>
    <w:rsid w:val="00F51C21"/>
    <w:rsid w:val="00F80D83"/>
    <w:rsid w:val="00F8490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4E3E64A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7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E5880-C8E6-4CA5-B2FB-C9B4603167A6}"/>
</file>

<file path=customXml/itemProps2.xml><?xml version="1.0" encoding="utf-8"?>
<ds:datastoreItem xmlns:ds="http://schemas.openxmlformats.org/officeDocument/2006/customXml" ds:itemID="{FDC97B0A-1C99-4782-AE27-675CDCE55205}"/>
</file>

<file path=customXml/itemProps3.xml><?xml version="1.0" encoding="utf-8"?>
<ds:datastoreItem xmlns:ds="http://schemas.openxmlformats.org/officeDocument/2006/customXml" ds:itemID="{CA9A11BA-F298-4CCC-9A17-75546FCCB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Wood lathe disc sander</dc:title>
  <dc:subject/>
  <dc:creator>COOPER, Philip;CLARK, Brian</dc:creator>
  <cp:keywords>DETE, Education Queensland</cp:keywords>
  <cp:lastModifiedBy>OVERETT, Sophie</cp:lastModifiedBy>
  <cp:revision>3</cp:revision>
  <dcterms:created xsi:type="dcterms:W3CDTF">2018-07-20T03:25:00Z</dcterms:created>
  <dcterms:modified xsi:type="dcterms:W3CDTF">2018-07-29T21:48:00Z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