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112EAC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232913</wp:posOffset>
                </wp:positionH>
                <wp:positionV relativeFrom="paragraph">
                  <wp:posOffset>1414732</wp:posOffset>
                </wp:positionV>
                <wp:extent cx="2731135" cy="572794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2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54FB774" wp14:editId="5E3D8B25">
                                        <wp:extent cx="474707" cy="486888"/>
                                        <wp:effectExtent l="0" t="0" r="1905" b="889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839" cy="512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 suitable P2 or P3 filter mask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should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be worn whenever potentially toxic fumes are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A0FF882" wp14:editId="51BD8CE9">
                                        <wp:extent cx="439388" cy="439388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6694" cy="446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gloves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should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be worn when using this equipment.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A suitable workshop apron is advisable.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8666D3" w:rsidRPr="00E145BE" w:rsidRDefault="008666D3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8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 the power lead and tool for obvious damage.</w:t>
                                  </w:r>
                                </w:p>
                                <w:p w:rsidR="008666D3" w:rsidRPr="00E145BE" w:rsidRDefault="008666D3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there is a supply of suitable HMA glue sticks.</w:t>
                                  </w:r>
                                </w:p>
                                <w:p w:rsidR="008666D3" w:rsidRPr="00E145BE" w:rsidRDefault="008666D3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that the cord does not create a slip/trip hazard.</w:t>
                                  </w:r>
                                </w:p>
                                <w:p w:rsidR="008666D3" w:rsidRPr="00E145BE" w:rsidRDefault="008666D3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the workspace is well ventilated.</w:t>
                                  </w:r>
                                </w:p>
                                <w:p w:rsidR="008666D3" w:rsidRDefault="008666D3" w:rsidP="007D4206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Children often show curiosity towards hot-melt glue guns. Never leave the tool unattended when turned on or still hot. Leave unplugged when not in use.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35pt;margin-top:111.4pt;width:215.05pt;height:4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4FB774" wp14:editId="5E3D8B25">
                                  <wp:extent cx="474707" cy="486888"/>
                                  <wp:effectExtent l="0" t="0" r="1905" b="889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839" cy="51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</w:rPr>
                              <w:t xml:space="preserve">A suitable P2 or P3 filter mask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should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</w:rPr>
                              <w:t xml:space="preserve"> be worn whenever potentially toxic fumes are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7A0FF882" wp14:editId="51BD8CE9">
                                  <wp:extent cx="439388" cy="439388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694" cy="44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gloves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should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be worn when using this equipment.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 suitable workshop apron is advisable.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8666D3" w:rsidRPr="00E145BE" w:rsidRDefault="008666D3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8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Examine the power lead and tool for obvious damage.</w:t>
                            </w:r>
                          </w:p>
                          <w:p w:rsidR="008666D3" w:rsidRPr="00E145BE" w:rsidRDefault="008666D3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there is a supply of suitable HMA glue sticks.</w:t>
                            </w:r>
                          </w:p>
                          <w:p w:rsidR="008666D3" w:rsidRPr="00E145BE" w:rsidRDefault="008666D3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that the cord does not create a slip/trip hazard.</w:t>
                            </w:r>
                          </w:p>
                          <w:p w:rsidR="008666D3" w:rsidRPr="00E145BE" w:rsidRDefault="008666D3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the workspace is well ventilated.</w:t>
                            </w:r>
                          </w:p>
                          <w:p w:rsidR="008666D3" w:rsidRDefault="008666D3" w:rsidP="007D4206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Children often show curiosity towards hot-melt glue guns. Never leave the tool unattended when turned on or still hot. Leave unplugged when not in use.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Turn on and pre-heat the melting element tip </w:t>
                                  </w: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br/>
                                    <w:t>5-10mins prior to using the glue gun.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Keep fingers clear of the extremely hot tip and molten glue. 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Always wear safety glasses and leather </w:t>
                                  </w:r>
                                  <w:r w:rsidRPr="00E145B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>gloves that are resistant to hot temperatures to protect against burns.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>During use, keep the gun in a position where it will have no contact with objects that easily catch fire.</w:t>
                                  </w: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 xml:space="preserve">It is best placed on a support stand with the nozzle facing down. 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>When placed on the support stand, place a material such as cardboard below the tip to help catch any molten</w:t>
                                  </w:r>
                                  <w:r w:rsidR="00EF00B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 xml:space="preserve"> glue that drips from the tip. </w:t>
                                  </w:r>
                                  <w:r w:rsidRPr="00E145B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4"/>
                                      <w:lang w:val="en-US" w:eastAsia="en-AU"/>
                                    </w:rPr>
                                    <w:t>The gun should never be placed on its side as the hot tip or molten HMA glue can cause a fire.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>Avoid prolonged use. This could overheat the tip element causing it to fail.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If the element tip does not heat up efficiently, turn the glue </w:t>
                                  </w:r>
                                  <w:r w:rsidR="00715770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 xml:space="preserve">gun off and report the fault </w:t>
                                  </w: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>to your teacher.</w:t>
                                  </w:r>
                                </w:p>
                                <w:p w:rsidR="006E5A55" w:rsidRPr="00E145BE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>Never leave the glue gun tool unattended when still switched ON or when switched OFF but still HOT.</w:t>
                                  </w:r>
                                </w:p>
                                <w:p w:rsidR="006E5A55" w:rsidRPr="006E5A55" w:rsidRDefault="006E5A55" w:rsidP="00112EA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E145BE">
                                    <w:rPr>
                                      <w:rFonts w:ascii="Arial" w:hAnsi="Arial"/>
                                      <w:sz w:val="16"/>
                                      <w:szCs w:val="14"/>
                                    </w:rPr>
                                    <w:t>Turn off and wait until the tip element has completely cooled before storing the glue gun away correctly.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E145BE" w:rsidRDefault="006E5A55" w:rsidP="006E5A5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CAUTION: HMA glues melt at 130°C - 220°C </w:t>
                                  </w:r>
                                </w:p>
                              </w:tc>
                            </w:tr>
                            <w:tr w:rsidR="006E5A55" w:rsidTr="007D4206">
                              <w:trPr>
                                <w:trHeight w:val="190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112EAC" w:rsidRDefault="006E5A55" w:rsidP="007D42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8"/>
                                      <w:lang w:eastAsia="en-US"/>
                                    </w:rPr>
                                  </w:pPr>
                                  <w:r w:rsidRPr="00112EAC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8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6E5A55" w:rsidRDefault="006E5A55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napToGrid w:val="0"/>
                                    <w:spacing w:before="40"/>
                                    <w:ind w:left="227" w:right="-170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4"/>
                                    </w:rPr>
                                  </w:pPr>
                                  <w:r w:rsidRPr="006E5A5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4"/>
                                    </w:rPr>
                                    <w:t xml:space="preserve">Switch off, unplug and allow to cool down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4"/>
                                    </w:rPr>
                                    <w:br/>
                                  </w:r>
                                  <w:r w:rsidRPr="006E5A5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4"/>
                                    </w:rPr>
                                    <w:t>before storing.</w:t>
                                  </w:r>
                                </w:p>
                                <w:p w:rsidR="006E5A55" w:rsidRPr="006E5A55" w:rsidRDefault="006E5A55" w:rsidP="006E5A5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E5A5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Leave the work area in a safe, clean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and</w:t>
                                  </w:r>
                                  <w:r w:rsidRPr="006E5A5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tidy condition.</w:t>
                                  </w:r>
                                </w:p>
                                <w:p w:rsidR="006E5A55" w:rsidRPr="00112EAC" w:rsidRDefault="006E5A55" w:rsidP="006E5A55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112EAC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8"/>
                                    </w:rPr>
                                    <w:t>POTENTIAL HAZARDS AND RISKS</w:t>
                                  </w:r>
                                </w:p>
                                <w:p w:rsidR="006E5A55" w:rsidRDefault="006E5A55" w:rsidP="006E5A55"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Hot surfaces and molten HMA glue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Electricity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■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Eye injuries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Toxic fumes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Fire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Turn on and pre-heat the melting element tip </w:t>
                            </w: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br/>
                              <w:t>5-10mins prior to using the glue gun.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Keep fingers clear of the extremely hot tip and molten glue. 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Always wear safety glasses and leather </w:t>
                            </w:r>
                            <w:r w:rsidRPr="00E145B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>gloves that are resistant to hot temperatures to protect against burns.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>During use, keep the gun in a position where it will have no contact with objects that easily catch fire.</w:t>
                            </w: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 xml:space="preserve">It is best placed on a support stand with the nozzle facing down. 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>When placed on the support stand, place a material such as cardboard below the tip to help catch any molten</w:t>
                            </w:r>
                            <w:r w:rsidR="00EF00B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 xml:space="preserve"> glue that drips from the tip. </w:t>
                            </w:r>
                            <w:r w:rsidRPr="00E145B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4"/>
                                <w:lang w:val="en-US" w:eastAsia="en-AU"/>
                              </w:rPr>
                              <w:t>The gun should never be placed on its side as the hot tip or molten HMA glue can cause a fire.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>Avoid prolonged use. This could overheat the tip element causing it to fail.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If the element tip does not heat up efficiently, turn the glue </w:t>
                            </w:r>
                            <w:r w:rsidR="00715770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 xml:space="preserve">gun off and report the fault </w:t>
                            </w: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>to your teacher.</w:t>
                            </w:r>
                          </w:p>
                          <w:p w:rsidR="006E5A55" w:rsidRPr="00E145BE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>Never leave the glue gun tool unattended when still switched ON or when switched OFF but still HOT.</w:t>
                            </w:r>
                          </w:p>
                          <w:p w:rsidR="006E5A55" w:rsidRPr="006E5A55" w:rsidRDefault="006E5A55" w:rsidP="00112EA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E145BE"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  <w:t>Turn off and wait until the tip element has completely cooled before storing the glue gun away correctly.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E145BE" w:rsidRDefault="006E5A55" w:rsidP="006E5A55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CAUTION: HMA glues melt at 130°C - 220°C </w:t>
                            </w:r>
                          </w:p>
                        </w:tc>
                      </w:tr>
                      <w:tr w:rsidR="006E5A55" w:rsidTr="007D4206">
                        <w:trPr>
                          <w:trHeight w:val="190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112EAC" w:rsidRDefault="006E5A55" w:rsidP="007D42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112EAC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8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6E5A55" w:rsidRDefault="006E5A55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napToGrid w:val="0"/>
                              <w:spacing w:before="40"/>
                              <w:ind w:left="227" w:right="-170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4"/>
                              </w:rPr>
                            </w:pPr>
                            <w:r w:rsidRPr="006E5A55">
                              <w:rPr>
                                <w:rFonts w:ascii="Arial" w:hAnsi="Arial" w:cs="Arial"/>
                                <w:iCs/>
                                <w:sz w:val="16"/>
                                <w:szCs w:val="14"/>
                              </w:rPr>
                              <w:t xml:space="preserve">Switch off, unplug and allow to cool down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4"/>
                              </w:rPr>
                              <w:br/>
                            </w:r>
                            <w:r w:rsidRPr="006E5A55">
                              <w:rPr>
                                <w:rFonts w:ascii="Arial" w:hAnsi="Arial" w:cs="Arial"/>
                                <w:iCs/>
                                <w:sz w:val="16"/>
                                <w:szCs w:val="14"/>
                              </w:rPr>
                              <w:t>before storing.</w:t>
                            </w:r>
                          </w:p>
                          <w:p w:rsidR="006E5A55" w:rsidRPr="006E5A55" w:rsidRDefault="006E5A55" w:rsidP="006E5A5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E5A55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Leave the work area in a safe, clean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6E5A55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tidy condition.</w:t>
                            </w:r>
                          </w:p>
                          <w:p w:rsidR="006E5A55" w:rsidRPr="00112EAC" w:rsidRDefault="006E5A55" w:rsidP="006E5A55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112EAC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8"/>
                              </w:rPr>
                              <w:t>POTENTIAL HAZARDS AND RISKS</w:t>
                            </w:r>
                          </w:p>
                          <w:p w:rsidR="006E5A55" w:rsidRDefault="006E5A55" w:rsidP="006E5A55"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Hot surfaces and molten HMA glue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Electricity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■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Eye injuries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Toxic fumes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Fire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6E348D" w:rsidRDefault="008666D3" w:rsidP="008666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</w:t>
                            </w:r>
                            <w:r w:rsidR="00112E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elt Glue Gun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8666D3" w:rsidRPr="006E348D" w:rsidRDefault="008666D3" w:rsidP="008666D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</w:t>
                      </w:r>
                      <w:r w:rsidR="00112EA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elt Glue Gun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112EAC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Hot M</w:t>
                            </w:r>
                            <w:r w:rsidR="008666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elt Glue 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112EAC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Hot M</w:t>
                      </w:r>
                      <w:r w:rsidR="008666D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elt Glue Gun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EF00B1" w:rsidP="006E348D">
      <w:pPr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Assembly i</w:t>
      </w:r>
      <w:r w:rsidR="006E348D"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EF00B1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</w:t>
      </w:r>
      <w:r w:rsidR="006E348D" w:rsidRPr="00A331C5">
        <w:rPr>
          <w:rFonts w:ascii="Arial" w:hAnsi="Arial" w:cs="Arial"/>
          <w:color w:val="365F91"/>
        </w:rPr>
        <w:t>everse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EF00B1">
        <w:rPr>
          <w:rFonts w:ascii="Arial" w:hAnsi="Arial" w:cs="Arial"/>
          <w:color w:val="365F91"/>
        </w:rPr>
        <w:t>‘t</w:t>
      </w:r>
      <w:r w:rsidRPr="00A331C5">
        <w:rPr>
          <w:rFonts w:ascii="Arial" w:hAnsi="Arial" w:cs="Arial"/>
          <w:color w:val="365F91"/>
        </w:rPr>
        <w:t>ag</w:t>
      </w:r>
      <w:r w:rsidR="00EF00B1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EF00B1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EF00B1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EF00B1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EF00B1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  <w:bookmarkStart w:id="0" w:name="_GoBack"/>
      <w:bookmarkEnd w:id="0"/>
    </w:p>
    <w:sectPr w:rsidR="0053629B" w:rsidRPr="00EF00B1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112EAC"/>
    <w:rsid w:val="00327878"/>
    <w:rsid w:val="00403EE8"/>
    <w:rsid w:val="004269C7"/>
    <w:rsid w:val="0053629B"/>
    <w:rsid w:val="006E348D"/>
    <w:rsid w:val="006E5A55"/>
    <w:rsid w:val="00715770"/>
    <w:rsid w:val="007D4206"/>
    <w:rsid w:val="008666D3"/>
    <w:rsid w:val="008744C6"/>
    <w:rsid w:val="00913CCF"/>
    <w:rsid w:val="00A51578"/>
    <w:rsid w:val="00C14234"/>
    <w:rsid w:val="00C24D75"/>
    <w:rsid w:val="00E145BE"/>
    <w:rsid w:val="00E15158"/>
    <w:rsid w:val="00E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AFAD0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01DF0AE-20D3-446F-9AC0-99DACADFB358}"/>
</file>

<file path=customXml/itemProps2.xml><?xml version="1.0" encoding="utf-8"?>
<ds:datastoreItem xmlns:ds="http://schemas.openxmlformats.org/officeDocument/2006/customXml" ds:itemID="{ACA27F69-7A84-4CBB-9F23-5F61D4BB588A}"/>
</file>

<file path=customXml/itemProps3.xml><?xml version="1.0" encoding="utf-8"?>
<ds:datastoreItem xmlns:ds="http://schemas.openxmlformats.org/officeDocument/2006/customXml" ds:itemID="{F214E52C-AB34-4009-A99D-56B65B5AC801}"/>
</file>

<file path=customXml/itemProps4.xml><?xml version="1.0" encoding="utf-8"?>
<ds:datastoreItem xmlns:ds="http://schemas.openxmlformats.org/officeDocument/2006/customXml" ds:itemID="{89653740-5EAF-46A8-8695-FDB75DAC1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Melt glue gun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2018-06-27T05:43:00Z</dcterms:created>
  <dcterms:modified xsi:type="dcterms:W3CDTF">2018-08-23T01:23:00Z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